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0" w:lineRule="exact"/>
        <w:rPr>
          <w:sz w:val="24"/>
          <w:szCs w:val="24"/>
          <w:color w:val="auto"/>
        </w:rPr>
      </w:pPr>
    </w:p>
    <w:p>
      <w:pPr>
        <w:ind w:left="3780" w:right="2220" w:hanging="3678"/>
        <w:spacing w:after="0" w:line="419" w:lineRule="auto"/>
        <w:tabs>
          <w:tab w:leader="none" w:pos="345" w:val="left"/>
        </w:tabs>
        <w:numPr>
          <w:ilvl w:val="0"/>
          <w:numId w:val="1"/>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2026</w:t>
      </w:r>
    </w:p>
    <w:p>
      <w:pPr>
        <w:spacing w:after="0" w:line="23" w:lineRule="exact"/>
        <w:rPr>
          <w:sz w:val="24"/>
          <w:szCs w:val="24"/>
          <w:color w:val="auto"/>
        </w:rPr>
      </w:pPr>
    </w:p>
    <w:p>
      <w:pPr>
        <w:ind w:left="3540" w:right="2200" w:hanging="3438"/>
        <w:spacing w:after="0" w:line="452" w:lineRule="auto"/>
        <w:tabs>
          <w:tab w:leader="none" w:pos="350" w:val="left"/>
        </w:tabs>
        <w:numPr>
          <w:ilvl w:val="0"/>
          <w:numId w:val="2"/>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TRANSITION REPORT PURSUANT TO SECTION 13 OR 15(d) OF THE SECURITIES EXCHANGE ACT OF 1934 For the transition period from__________ to __________</w:t>
      </w:r>
    </w:p>
    <w:p>
      <w:pPr>
        <w:spacing w:after="0" w:line="63" w:lineRule="exact"/>
        <w:rPr>
          <w:rFonts w:ascii="MS PGothic" w:cs="MS PGothic" w:eastAsia="MS PGothic" w:hAnsi="MS PGothic"/>
          <w:sz w:val="29"/>
          <w:szCs w:val="29"/>
          <w:color w:val="auto"/>
          <w:vertAlign w:val="superscript"/>
        </w:rPr>
      </w:pPr>
    </w:p>
    <w:p>
      <w:pPr>
        <w:ind w:left="4420"/>
        <w:spacing w:after="0"/>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171450</wp:posOffset>
            </wp:positionV>
            <wp:extent cx="184340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340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SHENANDOAH TELECOMMUNICATIONS COMPANY</w:t>
      </w:r>
    </w:p>
    <w:p>
      <w:pPr>
        <w:spacing w:after="0" w:line="51"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313"/>
        </w:trPr>
        <w:tc>
          <w:tcPr>
            <w:tcW w:w="1840" w:type="dxa"/>
            <w:vAlign w:val="bottom"/>
          </w:tcPr>
          <w:p>
            <w:pPr>
              <w:spacing w:after="0"/>
              <w:rPr>
                <w:sz w:val="24"/>
                <w:szCs w:val="24"/>
                <w:color w:val="auto"/>
              </w:rPr>
            </w:pPr>
          </w:p>
        </w:tc>
        <w:tc>
          <w:tcPr>
            <w:tcW w:w="164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jc w:val="right"/>
              <w:ind w:right="2418"/>
              <w:spacing w:after="0"/>
              <w:rPr>
                <w:sz w:val="20"/>
                <w:szCs w:val="20"/>
                <w:color w:val="auto"/>
              </w:rPr>
            </w:pPr>
            <w:r>
              <w:rPr>
                <w:rFonts w:ascii="Times New Roman" w:cs="Times New Roman" w:eastAsia="Times New Roman" w:hAnsi="Times New Roman"/>
                <w:sz w:val="18"/>
                <w:szCs w:val="18"/>
                <w:b w:val="1"/>
                <w:bCs w:val="1"/>
                <w:color w:val="auto"/>
              </w:rPr>
              <w:t>54-1162807</w:t>
            </w:r>
          </w:p>
        </w:tc>
        <w:tc>
          <w:tcPr>
            <w:tcW w:w="0" w:type="dxa"/>
            <w:vAlign w:val="bottom"/>
          </w:tcPr>
          <w:p>
            <w:pPr>
              <w:spacing w:after="0"/>
              <w:rPr>
                <w:sz w:val="1"/>
                <w:szCs w:val="1"/>
                <w:color w:val="auto"/>
              </w:rPr>
            </w:pPr>
          </w:p>
        </w:tc>
      </w:tr>
      <w:tr>
        <w:trPr>
          <w:trHeight w:val="234"/>
        </w:trPr>
        <w:tc>
          <w:tcPr>
            <w:tcW w:w="628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60" w:type="dxa"/>
            <w:vAlign w:val="bottom"/>
          </w:tcPr>
          <w:p>
            <w:pPr>
              <w:jc w:val="center"/>
              <w:ind w:right="131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535"/>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Shentel Way, Edinburg, Virginia</w:t>
            </w:r>
          </w:p>
        </w:tc>
        <w:tc>
          <w:tcPr>
            <w:tcW w:w="4460" w:type="dxa"/>
            <w:vAlign w:val="bottom"/>
          </w:tcPr>
          <w:p>
            <w:pPr>
              <w:jc w:val="right"/>
              <w:ind w:right="3798"/>
              <w:spacing w:after="0"/>
              <w:rPr>
                <w:sz w:val="20"/>
                <w:szCs w:val="20"/>
                <w:color w:val="auto"/>
              </w:rPr>
            </w:pPr>
            <w:r>
              <w:rPr>
                <w:rFonts w:ascii="Times New Roman" w:cs="Times New Roman" w:eastAsia="Times New Roman" w:hAnsi="Times New Roman"/>
                <w:sz w:val="18"/>
                <w:szCs w:val="18"/>
                <w:color w:val="auto"/>
              </w:rPr>
              <w:t>22824</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4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60" w:type="dxa"/>
            <w:vAlign w:val="bottom"/>
          </w:tcPr>
          <w:p>
            <w:pPr>
              <w:jc w:val="right"/>
              <w:ind w:right="355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441"/>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(540) 984-4141</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98"/>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2340" w:type="dxa"/>
            <w:vAlign w:val="bottom"/>
            <w:gridSpan w:val="2"/>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1840" w:type="dxa"/>
            <w:vAlign w:val="bottom"/>
          </w:tcPr>
          <w:p>
            <w:pPr>
              <w:spacing w:after="0"/>
              <w:rPr>
                <w:sz w:val="24"/>
                <w:szCs w:val="24"/>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91"/>
        </w:trPr>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640" w:type="dxa"/>
            <w:vAlign w:val="bottom"/>
          </w:tcPr>
          <w:p>
            <w:pPr>
              <w:jc w:val="center"/>
              <w:ind w:left="338"/>
              <w:spacing w:after="0"/>
              <w:rPr>
                <w:sz w:val="20"/>
                <w:szCs w:val="20"/>
                <w:color w:val="auto"/>
              </w:rPr>
            </w:pPr>
            <w:r>
              <w:rPr>
                <w:rFonts w:ascii="Times New Roman" w:cs="Times New Roman" w:eastAsia="Times New Roman" w:hAnsi="Times New Roman"/>
                <w:sz w:val="14"/>
                <w:szCs w:val="14"/>
                <w:color w:val="auto"/>
              </w:rPr>
              <w:t>SHEN</w:t>
            </w:r>
          </w:p>
        </w:tc>
        <w:tc>
          <w:tcPr>
            <w:tcW w:w="2800" w:type="dxa"/>
            <w:vAlign w:val="bottom"/>
            <w:gridSpan w:val="2"/>
          </w:tcPr>
          <w:p>
            <w:pPr>
              <w:jc w:val="center"/>
              <w:ind w:left="239"/>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4460" w:type="dxa"/>
            <w:vAlign w:val="bottom"/>
          </w:tcPr>
          <w:p>
            <w:pPr>
              <w:jc w:val="center"/>
              <w:ind w:left="278"/>
              <w:spacing w:after="0"/>
              <w:rPr>
                <w:sz w:val="20"/>
                <w:szCs w:val="20"/>
                <w:color w:val="auto"/>
              </w:rPr>
            </w:pPr>
            <w:r>
              <w:rPr>
                <w:rFonts w:ascii="Times New Roman" w:cs="Times New Roman" w:eastAsia="Times New Roman" w:hAnsi="Times New Roman"/>
                <w:sz w:val="14"/>
                <w:szCs w:val="14"/>
                <w:color w:val="auto"/>
              </w:rPr>
              <w:t>55,365,651</w:t>
            </w:r>
          </w:p>
        </w:tc>
        <w:tc>
          <w:tcPr>
            <w:tcW w:w="0" w:type="dxa"/>
            <w:vAlign w:val="bottom"/>
          </w:tcPr>
          <w:p>
            <w:pPr>
              <w:spacing w:after="0"/>
              <w:rPr>
                <w:sz w:val="1"/>
                <w:szCs w:val="1"/>
                <w:color w:val="auto"/>
              </w:rPr>
            </w:pPr>
          </w:p>
        </w:tc>
      </w:tr>
      <w:tr>
        <w:trPr>
          <w:trHeight w:val="163"/>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Class)</w:t>
            </w:r>
          </w:p>
        </w:tc>
        <w:tc>
          <w:tcPr>
            <w:tcW w:w="1640" w:type="dxa"/>
            <w:vAlign w:val="bottom"/>
            <w:vMerge w:val="restart"/>
          </w:tcPr>
          <w:p>
            <w:pPr>
              <w:jc w:val="center"/>
              <w:ind w:left="338"/>
              <w:spacing w:after="0"/>
              <w:rPr>
                <w:sz w:val="20"/>
                <w:szCs w:val="20"/>
                <w:color w:val="auto"/>
              </w:rPr>
            </w:pPr>
            <w:r>
              <w:rPr>
                <w:rFonts w:ascii="Times New Roman" w:cs="Times New Roman" w:eastAsia="Times New Roman" w:hAnsi="Times New Roman"/>
                <w:sz w:val="14"/>
                <w:szCs w:val="14"/>
                <w:color w:val="auto"/>
              </w:rPr>
              <w:t>(Trading Symbol)</w:t>
            </w:r>
          </w:p>
        </w:tc>
        <w:tc>
          <w:tcPr>
            <w:tcW w:w="2800" w:type="dxa"/>
            <w:vAlign w:val="bottom"/>
            <w:gridSpan w:val="2"/>
            <w:vMerge w:val="restart"/>
          </w:tcPr>
          <w:p>
            <w:pPr>
              <w:jc w:val="center"/>
              <w:ind w:left="259"/>
              <w:spacing w:after="0"/>
              <w:rPr>
                <w:sz w:val="20"/>
                <w:szCs w:val="20"/>
                <w:color w:val="auto"/>
              </w:rPr>
            </w:pPr>
            <w:r>
              <w:rPr>
                <w:rFonts w:ascii="Times New Roman" w:cs="Times New Roman" w:eastAsia="Times New Roman" w:hAnsi="Times New Roman"/>
                <w:sz w:val="14"/>
                <w:szCs w:val="14"/>
                <w:color w:val="auto"/>
              </w:rPr>
              <w:t>(Name of Exchange on which Registered)</w:t>
            </w:r>
          </w:p>
        </w:tc>
        <w:tc>
          <w:tcPr>
            <w:tcW w:w="4460" w:type="dxa"/>
            <w:vAlign w:val="bottom"/>
          </w:tcPr>
          <w:p>
            <w:pPr>
              <w:jc w:val="center"/>
              <w:ind w:left="278"/>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on</w:t>
            </w:r>
          </w:p>
        </w:tc>
        <w:tc>
          <w:tcPr>
            <w:tcW w:w="0" w:type="dxa"/>
            <w:vAlign w:val="bottom"/>
          </w:tcPr>
          <w:p>
            <w:pPr>
              <w:spacing w:after="0"/>
              <w:rPr>
                <w:sz w:val="1"/>
                <w:szCs w:val="1"/>
                <w:color w:val="auto"/>
              </w:rPr>
            </w:pPr>
          </w:p>
        </w:tc>
      </w:tr>
      <w:tr>
        <w:trPr>
          <w:trHeight w:val="107"/>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4460" w:type="dxa"/>
            <w:vAlign w:val="bottom"/>
            <w:vMerge w:val="restart"/>
          </w:tcPr>
          <w:p>
            <w:pPr>
              <w:jc w:val="center"/>
              <w:ind w:left="278"/>
              <w:spacing w:after="0"/>
              <w:rPr>
                <w:sz w:val="20"/>
                <w:szCs w:val="20"/>
                <w:color w:val="auto"/>
              </w:rPr>
            </w:pPr>
            <w:r>
              <w:rPr>
                <w:rFonts w:ascii="Times New Roman" w:cs="Times New Roman" w:eastAsia="Times New Roman" w:hAnsi="Times New Roman"/>
                <w:sz w:val="14"/>
                <w:szCs w:val="14"/>
                <w:color w:val="auto"/>
              </w:rPr>
              <w:t>October 22, 2026)</w:t>
            </w: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81" w:lineRule="exact"/>
        <w:tabs>
          <w:tab w:leader="none" w:pos="1660" w:val="left"/>
          <w:tab w:leader="none" w:pos="2040" w:val="left"/>
          <w:tab w:leader="none" w:pos="3320" w:val="left"/>
          <w:tab w:leader="none" w:pos="3700" w:val="left"/>
          <w:tab w:leader="none" w:pos="5280" w:val="left"/>
          <w:tab w:leader="none" w:pos="5660" w:val="left"/>
          <w:tab w:leader="none" w:pos="7640" w:val="left"/>
          <w:tab w:leader="none" w:pos="8040" w:val="left"/>
          <w:tab w:leader="none" w:pos="100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5"/>
          </w:tcPr>
          <w:p>
            <w:pPr>
              <w:jc w:val="center"/>
              <w:ind w:left="99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34"/>
        </w:trPr>
        <w:tc>
          <w:tcPr>
            <w:tcW w:w="8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2140" w:type="dxa"/>
            <w:vAlign w:val="bottom"/>
            <w:gridSpan w:val="5"/>
          </w:tcPr>
          <w:p>
            <w:pPr>
              <w:jc w:val="center"/>
              <w:ind w:left="990"/>
              <w:spacing w:after="0"/>
              <w:rPr>
                <w:sz w:val="20"/>
                <w:szCs w:val="20"/>
                <w:color w:val="auto"/>
              </w:rPr>
            </w:pPr>
            <w:r>
              <w:rPr>
                <w:rFonts w:ascii="Times New Roman" w:cs="Times New Roman" w:eastAsia="Times New Roman" w:hAnsi="Times New Roman"/>
                <w:sz w:val="18"/>
                <w:szCs w:val="18"/>
                <w:color w:val="auto"/>
                <w:w w:val="99"/>
              </w:rPr>
              <w:t>Numbers</w:t>
            </w:r>
          </w:p>
        </w:tc>
      </w:tr>
      <w:tr>
        <w:trPr>
          <w:trHeight w:val="238"/>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INFORMATION</w:t>
            </w: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43"/>
        </w:trPr>
        <w:tc>
          <w:tcPr>
            <w:tcW w:w="820" w:type="dxa"/>
            <w:vAlign w:val="bottom"/>
          </w:tcPr>
          <w:p>
            <w:pPr>
              <w:spacing w:after="0"/>
              <w:rPr>
                <w:sz w:val="21"/>
                <w:szCs w:val="21"/>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tc>
        <w:tc>
          <w:tcPr>
            <w:tcW w:w="1560" w:type="dxa"/>
            <w:vAlign w:val="bottom"/>
            <w:gridSpan w:val="2"/>
          </w:tcPr>
          <w:p>
            <w:pPr>
              <w:spacing w:after="0"/>
              <w:rPr>
                <w:sz w:val="21"/>
                <w:szCs w:val="21"/>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63"/>
        </w:trPr>
        <w:tc>
          <w:tcPr>
            <w:tcW w:w="820" w:type="dxa"/>
            <w:vAlign w:val="bottom"/>
          </w:tcPr>
          <w:p>
            <w:pPr>
              <w:spacing w:after="0"/>
              <w:rPr>
                <w:sz w:val="22"/>
                <w:szCs w:val="22"/>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w:t>
            </w:r>
          </w:p>
        </w:tc>
        <w:tc>
          <w:tcPr>
            <w:tcW w:w="1560" w:type="dxa"/>
            <w:vAlign w:val="bottom"/>
            <w:gridSpan w:val="2"/>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64"/>
        </w:trPr>
        <w:tc>
          <w:tcPr>
            <w:tcW w:w="820" w:type="dxa"/>
            <w:vAlign w:val="bottom"/>
          </w:tcPr>
          <w:p>
            <w:pPr>
              <w:spacing w:after="0"/>
              <w:rPr>
                <w:sz w:val="22"/>
                <w:szCs w:val="22"/>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Comprehensive Loss</w:t>
            </w:r>
          </w:p>
        </w:tc>
        <w:tc>
          <w:tcPr>
            <w:tcW w:w="1560" w:type="dxa"/>
            <w:vAlign w:val="bottom"/>
            <w:gridSpan w:val="2"/>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466"/>
        </w:trPr>
        <w:tc>
          <w:tcPr>
            <w:tcW w:w="82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Temporary Equity and Shareholders’ Equity</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3"/>
        </w:trPr>
        <w:tc>
          <w:tcPr>
            <w:tcW w:w="820" w:type="dxa"/>
            <w:vAlign w:val="bottom"/>
          </w:tcPr>
          <w:p>
            <w:pPr>
              <w:spacing w:after="0"/>
              <w:rPr>
                <w:sz w:val="22"/>
                <w:szCs w:val="22"/>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tc>
        <w:tc>
          <w:tcPr>
            <w:tcW w:w="1560" w:type="dxa"/>
            <w:vAlign w:val="bottom"/>
            <w:gridSpan w:val="2"/>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63"/>
        </w:trPr>
        <w:tc>
          <w:tcPr>
            <w:tcW w:w="820" w:type="dxa"/>
            <w:vAlign w:val="bottom"/>
          </w:tcPr>
          <w:p>
            <w:pPr>
              <w:spacing w:after="0"/>
              <w:rPr>
                <w:sz w:val="22"/>
                <w:szCs w:val="22"/>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1560" w:type="dxa"/>
            <w:vAlign w:val="bottom"/>
            <w:gridSpan w:val="2"/>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6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52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23</w:t>
            </w:r>
          </w:p>
        </w:tc>
        <w:tc>
          <w:tcPr>
            <w:tcW w:w="440" w:type="dxa"/>
            <w:vAlign w:val="bottom"/>
          </w:tcPr>
          <w:p>
            <w:pPr>
              <w:spacing w:after="0"/>
              <w:rPr>
                <w:sz w:val="22"/>
                <w:szCs w:val="22"/>
                <w:color w:val="auto"/>
              </w:rPr>
            </w:pPr>
          </w:p>
        </w:tc>
      </w:tr>
      <w:tr>
        <w:trPr>
          <w:trHeight w:val="26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52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40" w:type="dxa"/>
            <w:vAlign w:val="bottom"/>
          </w:tcPr>
          <w:p>
            <w:pPr>
              <w:spacing w:after="0"/>
              <w:rPr>
                <w:sz w:val="22"/>
                <w:szCs w:val="22"/>
                <w:color w:val="auto"/>
              </w:rPr>
            </w:pPr>
          </w:p>
        </w:tc>
      </w:tr>
      <w:tr>
        <w:trPr>
          <w:trHeight w:val="26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700" w:type="dxa"/>
            <w:vAlign w:val="bottom"/>
            <w:gridSpan w:val="4"/>
          </w:tcPr>
          <w:p>
            <w:pPr>
              <w:jc w:val="center"/>
              <w:ind w:left="1430"/>
              <w:spacing w:after="0"/>
              <w:rPr>
                <w:sz w:val="20"/>
                <w:szCs w:val="20"/>
                <w:color w:val="auto"/>
              </w:rPr>
            </w:pPr>
            <w:r>
              <w:rPr>
                <w:rFonts w:ascii="Times New Roman" w:cs="Times New Roman" w:eastAsia="Times New Roman" w:hAnsi="Times New Roman"/>
                <w:sz w:val="18"/>
                <w:szCs w:val="18"/>
                <w:color w:val="0000FF"/>
                <w:w w:val="99"/>
              </w:rPr>
              <w:t>34</w:t>
            </w:r>
          </w:p>
        </w:tc>
        <w:tc>
          <w:tcPr>
            <w:tcW w:w="440" w:type="dxa"/>
            <w:vAlign w:val="bottom"/>
          </w:tcPr>
          <w:p>
            <w:pPr>
              <w:spacing w:after="0"/>
              <w:rPr>
                <w:sz w:val="22"/>
                <w:szCs w:val="22"/>
                <w:color w:val="auto"/>
              </w:rPr>
            </w:pPr>
          </w:p>
        </w:tc>
      </w:tr>
      <w:tr>
        <w:trPr>
          <w:trHeight w:val="30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5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24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152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440" w:type="dxa"/>
            <w:vAlign w:val="bottom"/>
          </w:tcPr>
          <w:p>
            <w:pPr>
              <w:spacing w:after="0"/>
              <w:rPr>
                <w:sz w:val="21"/>
                <w:szCs w:val="21"/>
                <w:color w:val="auto"/>
              </w:rPr>
            </w:pPr>
          </w:p>
        </w:tc>
      </w:tr>
      <w:tr>
        <w:trPr>
          <w:trHeight w:val="48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440" w:type="dxa"/>
            <w:vAlign w:val="bottom"/>
          </w:tcPr>
          <w:p>
            <w:pPr>
              <w:spacing w:after="0"/>
              <w:rPr>
                <w:sz w:val="24"/>
                <w:szCs w:val="24"/>
                <w:color w:val="auto"/>
              </w:rPr>
            </w:pPr>
          </w:p>
        </w:tc>
      </w:tr>
      <w:tr>
        <w:trPr>
          <w:trHeight w:val="26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52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440" w:type="dxa"/>
            <w:vAlign w:val="bottom"/>
          </w:tcPr>
          <w:p>
            <w:pPr>
              <w:spacing w:after="0"/>
              <w:rPr>
                <w:sz w:val="22"/>
                <w:szCs w:val="22"/>
                <w:color w:val="auto"/>
              </w:rPr>
            </w:pPr>
          </w:p>
        </w:tc>
      </w:tr>
      <w:tr>
        <w:trPr>
          <w:trHeight w:val="26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52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440" w:type="dxa"/>
            <w:vAlign w:val="bottom"/>
          </w:tcPr>
          <w:p>
            <w:pPr>
              <w:spacing w:after="0"/>
              <w:rPr>
                <w:sz w:val="22"/>
                <w:szCs w:val="22"/>
                <w:color w:val="auto"/>
              </w:rPr>
            </w:pPr>
          </w:p>
        </w:tc>
      </w:tr>
      <w:tr>
        <w:trPr>
          <w:trHeight w:val="48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440" w:type="dxa"/>
            <w:vAlign w:val="bottom"/>
          </w:tcPr>
          <w:p>
            <w:pPr>
              <w:spacing w:after="0"/>
              <w:rPr>
                <w:sz w:val="24"/>
                <w:szCs w:val="24"/>
                <w:color w:val="auto"/>
              </w:rPr>
            </w:pPr>
          </w:p>
        </w:tc>
      </w:tr>
      <w:tr>
        <w:trPr>
          <w:trHeight w:val="264"/>
        </w:trPr>
        <w:tc>
          <w:tcPr>
            <w:tcW w:w="820" w:type="dxa"/>
            <w:vAlign w:val="bottom"/>
          </w:tcPr>
          <w:p>
            <w:pPr>
              <w:spacing w:after="0"/>
              <w:rPr>
                <w:sz w:val="22"/>
                <w:szCs w:val="22"/>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Signatures</w:t>
            </w:r>
          </w:p>
        </w:tc>
        <w:tc>
          <w:tcPr>
            <w:tcW w:w="1700" w:type="dxa"/>
            <w:vAlign w:val="bottom"/>
            <w:gridSpan w:val="4"/>
          </w:tcPr>
          <w:p>
            <w:pPr>
              <w:jc w:val="center"/>
              <w:ind w:left="1430"/>
              <w:spacing w:after="0"/>
              <w:rPr>
                <w:sz w:val="20"/>
                <w:szCs w:val="20"/>
                <w:color w:val="auto"/>
              </w:rPr>
            </w:pPr>
            <w:r>
              <w:rPr>
                <w:rFonts w:ascii="Times New Roman" w:cs="Times New Roman" w:eastAsia="Times New Roman" w:hAnsi="Times New Roman"/>
                <w:sz w:val="18"/>
                <w:szCs w:val="18"/>
                <w:color w:val="0000FF"/>
                <w:w w:val="99"/>
              </w:rPr>
              <w:t>38</w:t>
            </w:r>
          </w:p>
        </w:tc>
        <w:tc>
          <w:tcPr>
            <w:tcW w:w="440" w:type="dxa"/>
            <w:vAlign w:val="bottom"/>
          </w:tcPr>
          <w:p>
            <w:pPr>
              <w:spacing w:after="0"/>
              <w:rPr>
                <w:sz w:val="22"/>
                <w:szCs w:val="22"/>
                <w:color w:val="auto"/>
              </w:rPr>
            </w:pPr>
          </w:p>
        </w:tc>
      </w:tr>
      <w:tr>
        <w:trPr>
          <w:trHeight w:val="925"/>
        </w:trPr>
        <w:tc>
          <w:tcPr>
            <w:tcW w:w="820" w:type="dxa"/>
            <w:vAlign w:val="bottom"/>
          </w:tcPr>
          <w:p>
            <w:pPr>
              <w:spacing w:after="0"/>
              <w:rPr>
                <w:sz w:val="24"/>
                <w:szCs w:val="24"/>
                <w:color w:val="auto"/>
              </w:rPr>
            </w:pPr>
          </w:p>
        </w:tc>
        <w:tc>
          <w:tcPr>
            <w:tcW w:w="828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82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960"/>
        <w:spacing w:after="0" w:line="317" w:lineRule="auto"/>
        <w:rPr>
          <w:sz w:val="20"/>
          <w:szCs w:val="20"/>
          <w:color w:val="auto"/>
        </w:rPr>
      </w:pPr>
      <w:r>
        <w:rPr>
          <w:rFonts w:ascii="Times New Roman" w:cs="Times New Roman" w:eastAsia="Times New Roman" w:hAnsi="Times New Roman"/>
          <w:sz w:val="17"/>
          <w:szCs w:val="17"/>
          <w:b w:val="1"/>
          <w:bCs w:val="1"/>
          <w:color w:val="auto"/>
        </w:rPr>
        <w:t>SHENANDOAH TELECOMMUNICATIONS COMPANY AND SUBSIDIARIES UNAUDITED CONDENSED CONSOLIDATED BALANCE SHEETS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2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4"/>
        </w:trPr>
        <w:tc>
          <w:tcPr>
            <w:tcW w:w="8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27,259</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20,945</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$1,389 and $829, respectively</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31,497</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15,198</w:t>
            </w:r>
          </w:p>
        </w:tc>
        <w:tc>
          <w:tcPr>
            <w:tcW w:w="0" w:type="dxa"/>
            <w:vAlign w:val="bottom"/>
          </w:tcPr>
          <w:p>
            <w:pPr>
              <w:spacing w:after="0"/>
              <w:rPr>
                <w:sz w:val="1"/>
                <w:szCs w:val="1"/>
                <w:color w:val="auto"/>
              </w:rPr>
            </w:pPr>
          </w:p>
        </w:tc>
      </w:tr>
      <w:tr>
        <w:trPr>
          <w:trHeight w:val="210"/>
        </w:trPr>
        <w:tc>
          <w:tcPr>
            <w:tcW w:w="8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97,443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1,711,144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1,601,609</w:t>
            </w:r>
          </w:p>
        </w:tc>
        <w:tc>
          <w:tcPr>
            <w:tcW w:w="0" w:type="dxa"/>
            <w:vAlign w:val="bottom"/>
          </w:tcPr>
          <w:p>
            <w:pPr>
              <w:spacing w:after="0"/>
              <w:rPr>
                <w:sz w:val="1"/>
                <w:szCs w:val="1"/>
                <w:color w:val="auto"/>
              </w:rPr>
            </w:pPr>
          </w:p>
        </w:tc>
      </w:tr>
      <w:tr>
        <w:trPr>
          <w:trHeight w:val="216"/>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67,538</w:t>
            </w:r>
          </w:p>
        </w:tc>
        <w:tc>
          <w:tcPr>
            <w:tcW w:w="0" w:type="dxa"/>
            <w:vAlign w:val="bottom"/>
          </w:tcPr>
          <w:p>
            <w:pPr>
              <w:spacing w:after="0"/>
              <w:rPr>
                <w:sz w:val="1"/>
                <w:szCs w:val="1"/>
                <w:color w:val="auto"/>
              </w:rPr>
            </w:pPr>
          </w:p>
        </w:tc>
      </w:tr>
      <w:tr>
        <w:trPr>
          <w:trHeight w:val="216"/>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89,353</w:t>
            </w:r>
          </w:p>
        </w:tc>
        <w:tc>
          <w:tcPr>
            <w:tcW w:w="0" w:type="dxa"/>
            <w:vAlign w:val="bottom"/>
          </w:tcPr>
          <w:p>
            <w:pPr>
              <w:spacing w:after="0"/>
              <w:rPr>
                <w:sz w:val="1"/>
                <w:szCs w:val="1"/>
                <w:color w:val="auto"/>
              </w:rPr>
            </w:pPr>
          </w:p>
        </w:tc>
      </w:tr>
      <w:tr>
        <w:trPr>
          <w:trHeight w:val="216"/>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19,657</w:t>
            </w:r>
          </w:p>
        </w:tc>
        <w:tc>
          <w:tcPr>
            <w:tcW w:w="0" w:type="dxa"/>
            <w:vAlign w:val="bottom"/>
          </w:tcPr>
          <w:p>
            <w:pPr>
              <w:spacing w:after="0"/>
              <w:rPr>
                <w:sz w:val="1"/>
                <w:szCs w:val="1"/>
                <w:color w:val="auto"/>
              </w:rPr>
            </w:pPr>
          </w:p>
        </w:tc>
      </w:tr>
      <w:tr>
        <w:trPr>
          <w:trHeight w:val="216"/>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18,652</w:t>
            </w:r>
          </w:p>
        </w:tc>
        <w:tc>
          <w:tcPr>
            <w:tcW w:w="0" w:type="dxa"/>
            <w:vAlign w:val="bottom"/>
          </w:tcPr>
          <w:p>
            <w:pPr>
              <w:spacing w:after="0"/>
              <w:rPr>
                <w:sz w:val="1"/>
                <w:szCs w:val="1"/>
                <w:color w:val="auto"/>
              </w:rPr>
            </w:pPr>
          </w:p>
        </w:tc>
      </w:tr>
      <w:tr>
        <w:trPr>
          <w:trHeight w:val="210"/>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2,009,249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1,910,762</w:t>
            </w:r>
          </w:p>
        </w:tc>
        <w:tc>
          <w:tcPr>
            <w:tcW w:w="0" w:type="dxa"/>
            <w:vAlign w:val="bottom"/>
          </w:tcPr>
          <w:p>
            <w:pPr>
              <w:spacing w:after="0"/>
              <w:rPr>
                <w:sz w:val="1"/>
                <w:szCs w:val="1"/>
                <w:color w:val="auto"/>
              </w:rPr>
            </w:pPr>
          </w:p>
        </w:tc>
      </w:tr>
      <w:tr>
        <w:trPr>
          <w:trHeight w:val="26"/>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TEMPORARY EQUITY AND SHAREHOLDERS’ EQUITY</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68,219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61,355</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Advanced billings and customer deposits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16,909</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13,334</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14,079</w:t>
            </w:r>
          </w:p>
        </w:tc>
        <w:tc>
          <w:tcPr>
            <w:tcW w:w="0" w:type="dxa"/>
            <w:vAlign w:val="bottom"/>
          </w:tcPr>
          <w:p>
            <w:pPr>
              <w:spacing w:after="0"/>
              <w:rPr>
                <w:sz w:val="1"/>
                <w:szCs w:val="1"/>
                <w:color w:val="auto"/>
              </w:rPr>
            </w:pPr>
          </w:p>
        </w:tc>
      </w:tr>
      <w:tr>
        <w:trPr>
          <w:trHeight w:val="210"/>
        </w:trPr>
        <w:tc>
          <w:tcPr>
            <w:tcW w:w="8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123,314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108,496</w:t>
            </w:r>
          </w:p>
        </w:tc>
        <w:tc>
          <w:tcPr>
            <w:tcW w:w="0" w:type="dxa"/>
            <w:vAlign w:val="bottom"/>
          </w:tcPr>
          <w:p>
            <w:pPr>
              <w:spacing w:after="0"/>
              <w:rPr>
                <w:sz w:val="1"/>
                <w:szCs w:val="1"/>
                <w:color w:val="auto"/>
              </w:rPr>
            </w:pPr>
          </w:p>
        </w:tc>
      </w:tr>
      <w:tr>
        <w:trPr>
          <w:trHeight w:val="210"/>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 of unamortized loan fees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747,091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628,237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157,618</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Benefit plan obligations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10,632</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32,367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32,340</w:t>
            </w:r>
          </w:p>
        </w:tc>
        <w:tc>
          <w:tcPr>
            <w:tcW w:w="0" w:type="dxa"/>
            <w:vAlign w:val="bottom"/>
          </w:tcPr>
          <w:p>
            <w:pPr>
              <w:spacing w:after="0"/>
              <w:rPr>
                <w:sz w:val="1"/>
                <w:szCs w:val="1"/>
                <w:color w:val="auto"/>
              </w:rPr>
            </w:pPr>
          </w:p>
        </w:tc>
      </w:tr>
      <w:tr>
        <w:trPr>
          <w:trHeight w:val="210"/>
        </w:trPr>
        <w:tc>
          <w:tcPr>
            <w:tcW w:w="8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194,870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204,740</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Temporary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88,506</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28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Common stock, no par value, authorized 96,000; 55,365 and 54,899 issued and outstanding at September 30, 2026 and</w:t>
            </w:r>
          </w:p>
        </w:tc>
        <w:tc>
          <w:tcPr>
            <w:tcW w:w="180" w:type="dxa"/>
            <w:vAlign w:val="bottom"/>
          </w:tcPr>
          <w:p>
            <w:pPr>
              <w:spacing w:after="0"/>
              <w:rPr>
                <w:sz w:val="14"/>
                <w:szCs w:val="14"/>
                <w:color w:val="auto"/>
              </w:rPr>
            </w:pPr>
          </w:p>
        </w:tc>
        <w:tc>
          <w:tcPr>
            <w:tcW w:w="1440" w:type="dxa"/>
            <w:vAlign w:val="bottom"/>
            <w:gridSpan w:val="2"/>
          </w:tcPr>
          <w:p>
            <w:pPr>
              <w:jc w:val="right"/>
              <w:ind w:right="20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157,216</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686,122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723,567</w:t>
            </w:r>
          </w:p>
        </w:tc>
        <w:tc>
          <w:tcPr>
            <w:tcW w:w="0" w:type="dxa"/>
            <w:vAlign w:val="bottom"/>
          </w:tcPr>
          <w:p>
            <w:pPr>
              <w:spacing w:after="0"/>
              <w:rPr>
                <w:sz w:val="1"/>
                <w:szCs w:val="1"/>
                <w:color w:val="auto"/>
              </w:rPr>
            </w:pPr>
          </w:p>
        </w:tc>
      </w:tr>
      <w:tr>
        <w:trPr>
          <w:trHeight w:val="213"/>
        </w:trPr>
        <w:tc>
          <w:tcPr>
            <w:tcW w:w="8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850,653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880,783</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temporary equity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2,009,249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1,910,762</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right="5340"/>
        <w:spacing w:after="0" w:line="281" w:lineRule="auto"/>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 UNAUDITED CONDENSED CONSOLIDATED STATEMENTS OF OPERATIONS</w:t>
      </w:r>
    </w:p>
    <w:tbl>
      <w:tblPr>
        <w:tblLayout w:type="fixed"/>
        <w:tblInd w:w="20" w:type="dxa"/>
        <w:tblCellMar>
          <w:top w:w="0" w:type="dxa"/>
          <w:left w:w="0" w:type="dxa"/>
          <w:bottom w:w="0" w:type="dxa"/>
          <w:right w:w="0" w:type="dxa"/>
        </w:tblCellMar>
      </w:tblPr>
      <w:tr>
        <w:trPr>
          <w:trHeight w:val="166"/>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00" w:type="dxa"/>
            <w:vAlign w:val="bottom"/>
          </w:tcPr>
          <w:p>
            <w:pPr>
              <w:spacing w:after="0"/>
              <w:rPr>
                <w:sz w:val="14"/>
                <w:szCs w:val="14"/>
                <w:color w:val="auto"/>
              </w:rPr>
            </w:pPr>
          </w:p>
        </w:tc>
        <w:tc>
          <w:tcPr>
            <w:tcW w:w="2600" w:type="dxa"/>
            <w:vAlign w:val="bottom"/>
            <w:gridSpan w:val="5"/>
          </w:tcPr>
          <w:p>
            <w:pPr>
              <w:ind w:left="34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4"/>
                <w:szCs w:val="14"/>
                <w:color w:val="auto"/>
              </w:rPr>
            </w:pPr>
          </w:p>
        </w:tc>
        <w:tc>
          <w:tcPr>
            <w:tcW w:w="2480" w:type="dxa"/>
            <w:vAlign w:val="bottom"/>
            <w:gridSpan w:val="4"/>
          </w:tcPr>
          <w:p>
            <w:pPr>
              <w:jc w:val="right"/>
              <w:ind w:right="619"/>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5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8"/>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 and other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93,934</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89,796</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279,549</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266,262</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services, exclusive of 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97,446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98,038</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93,562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90,526</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integration and acquisition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33,687</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34,492</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99,277</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99,053</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95,911</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96,960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293,011</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288,626</w:t>
            </w:r>
          </w:p>
        </w:tc>
        <w:tc>
          <w:tcPr>
            <w:tcW w:w="0" w:type="dxa"/>
            <w:vAlign w:val="bottom"/>
          </w:tcPr>
          <w:p>
            <w:pPr>
              <w:spacing w:after="0"/>
              <w:rPr>
                <w:sz w:val="1"/>
                <w:szCs w:val="1"/>
                <w:color w:val="auto"/>
              </w:rPr>
            </w:pPr>
          </w:p>
        </w:tc>
      </w:tr>
      <w:tr>
        <w:trPr>
          <w:trHeight w:val="209"/>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loss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(13,462)</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(22,364)</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(17,684)</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5,337</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(7,141)</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Dividends on redeemable noncontrolling interest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4,815</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0" w:type="dxa"/>
            <w:vAlign w:val="bottom"/>
          </w:tcPr>
          <w:p>
            <w:pPr>
              <w:spacing w:after="0"/>
              <w:rPr>
                <w:sz w:val="1"/>
                <w:szCs w:val="1"/>
                <w:color w:val="auto"/>
              </w:rPr>
            </w:pPr>
          </w:p>
        </w:tc>
      </w:tr>
      <w:tr>
        <w:trPr>
          <w:trHeight w:val="210"/>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(10,813)</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(10,913)</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(37,445)</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(32,062)</w:t>
            </w:r>
          </w:p>
        </w:tc>
        <w:tc>
          <w:tcPr>
            <w:tcW w:w="0" w:type="dxa"/>
            <w:vAlign w:val="bottom"/>
          </w:tcPr>
          <w:p>
            <w:pPr>
              <w:spacing w:after="0"/>
              <w:rPr>
                <w:sz w:val="1"/>
                <w:szCs w:val="1"/>
                <w:color w:val="auto"/>
              </w:rPr>
            </w:pPr>
          </w:p>
        </w:tc>
      </w:tr>
      <w:tr>
        <w:trPr>
          <w:trHeight w:val="26"/>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shareholders, basic and diluted:</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 per share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55,814</w:t>
            </w: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55,150</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55,715</w:t>
            </w: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55,083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COMPREHENSIVE LOSS</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4"/>
                <w:szCs w:val="14"/>
                <w:color w:val="auto"/>
              </w:rPr>
            </w:pPr>
          </w:p>
        </w:tc>
        <w:tc>
          <w:tcPr>
            <w:tcW w:w="2580" w:type="dxa"/>
            <w:vAlign w:val="bottom"/>
            <w:gridSpan w:val="5"/>
          </w:tcPr>
          <w:p>
            <w:pPr>
              <w:ind w:left="340"/>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4"/>
                <w:szCs w:val="14"/>
                <w:color w:val="auto"/>
              </w:rPr>
            </w:pPr>
          </w:p>
        </w:tc>
        <w:tc>
          <w:tcPr>
            <w:tcW w:w="2480" w:type="dxa"/>
            <w:vAlign w:val="bottom"/>
            <w:gridSpan w:val="4"/>
          </w:tcPr>
          <w:p>
            <w:pPr>
              <w:jc w:val="right"/>
              <w:ind w:right="616"/>
              <w:spacing w:after="0" w:line="16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54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8"/>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(32,630)</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change in unrealized gain</w:t>
            </w: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4"/>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04"/>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1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(10,037)</w:t>
            </w: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(32,630)</w:t>
            </w:r>
          </w:p>
        </w:tc>
        <w:tc>
          <w:tcPr>
            <w:tcW w:w="1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(29,070)</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on redeemable noncontrolling interest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4,815</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0" w:type="dxa"/>
            <w:vAlign w:val="bottom"/>
          </w:tcPr>
          <w:p>
            <w:pPr>
              <w:spacing w:after="0"/>
              <w:rPr>
                <w:sz w:val="1"/>
                <w:szCs w:val="1"/>
                <w:color w:val="auto"/>
              </w:rPr>
            </w:pPr>
          </w:p>
        </w:tc>
      </w:tr>
      <w:tr>
        <w:trPr>
          <w:trHeight w:val="213"/>
        </w:trPr>
        <w:tc>
          <w:tcPr>
            <w:tcW w:w="5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Comprehensive loss attributable to common shareholders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(10,813)</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(11,560)</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(37,445)</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(33,562)</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ind w:left="20" w:right="1160"/>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TEMPORARY EQUITY AND SHAREHOLDERS' EQUITY </w:t>
      </w:r>
      <w:r>
        <w:rPr>
          <w:rFonts w:ascii="Times New Roman" w:cs="Times New Roman" w:eastAsia="Times New Roman" w:hAnsi="Times New Roman"/>
          <w:sz w:val="18"/>
          <w:szCs w:val="18"/>
          <w:i w:val="1"/>
          <w:iCs w:val="1"/>
          <w:color w:val="auto"/>
        </w:rPr>
        <w:t>(in thousands)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270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9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June 30, 2026</w:t>
            </w: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 par 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1940" w:type="dxa"/>
            <w:vAlign w:val="bottom"/>
            <w:vMerge w:val="continue"/>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91,688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55,364</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163,003</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696,935</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859,938</w:t>
            </w: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(9,180)</w:t>
            </w:r>
          </w:p>
        </w:tc>
        <w:tc>
          <w:tcPr>
            <w:tcW w:w="0" w:type="dxa"/>
            <w:vAlign w:val="bottom"/>
          </w:tcPr>
          <w:p>
            <w:pPr>
              <w:spacing w:after="0"/>
              <w:rPr>
                <w:sz w:val="1"/>
                <w:szCs w:val="1"/>
                <w:color w:val="auto"/>
              </w:rPr>
            </w:pPr>
          </w:p>
        </w:tc>
      </w:tr>
      <w:tr>
        <w:trPr>
          <w:trHeight w:val="20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0" w:type="dxa"/>
            <w:vAlign w:val="bottom"/>
          </w:tcPr>
          <w:p>
            <w:pPr>
              <w:spacing w:after="0"/>
              <w:rPr>
                <w:sz w:val="1"/>
                <w:szCs w:val="1"/>
                <w:color w:val="auto"/>
              </w:rPr>
            </w:pPr>
          </w:p>
        </w:tc>
      </w:tr>
      <w:tr>
        <w:trPr>
          <w:trHeight w:val="20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Preferred stock dividends -</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paid in kind</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2026</w:t>
            </w:r>
          </w:p>
        </w:tc>
        <w:tc>
          <w:tcPr>
            <w:tcW w:w="9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93,321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55,365</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164,531</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686,122</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850,653</w:t>
            </w:r>
          </w:p>
        </w:tc>
        <w:tc>
          <w:tcPr>
            <w:tcW w:w="0" w:type="dxa"/>
            <w:vAlign w:val="bottom"/>
          </w:tcPr>
          <w:p>
            <w:pPr>
              <w:spacing w:after="0"/>
              <w:rPr>
                <w:sz w:val="1"/>
                <w:szCs w:val="1"/>
                <w:color w:val="auto"/>
              </w:rPr>
            </w:pPr>
          </w:p>
        </w:tc>
      </w:tr>
      <w:tr>
        <w:trPr>
          <w:trHeight w:val="260"/>
        </w:trPr>
        <w:tc>
          <w:tcPr>
            <w:tcW w:w="1940" w:type="dxa"/>
            <w:vAlign w:val="bottom"/>
          </w:tcPr>
          <w:p>
            <w:pPr>
              <w:spacing w:after="0"/>
              <w:rPr>
                <w:sz w:val="22"/>
                <w:szCs w:val="22"/>
                <w:color w:val="auto"/>
              </w:rPr>
            </w:pPr>
          </w:p>
        </w:tc>
        <w:tc>
          <w:tcPr>
            <w:tcW w:w="270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9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 par 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1940" w:type="dxa"/>
            <w:vAlign w:val="bottom"/>
            <w:vMerge w:val="continue"/>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88,506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54,899</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157,216</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723,567</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880,783</w:t>
            </w: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(32,630)</w:t>
            </w:r>
          </w:p>
        </w:tc>
        <w:tc>
          <w:tcPr>
            <w:tcW w:w="0" w:type="dxa"/>
            <w:vAlign w:val="bottom"/>
          </w:tcPr>
          <w:p>
            <w:pPr>
              <w:spacing w:after="0"/>
              <w:rPr>
                <w:sz w:val="1"/>
                <w:szCs w:val="1"/>
                <w:color w:val="auto"/>
              </w:rPr>
            </w:pPr>
          </w:p>
        </w:tc>
      </w:tr>
      <w:tr>
        <w:trPr>
          <w:trHeight w:val="20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9,083</w:t>
            </w:r>
          </w:p>
        </w:tc>
        <w:tc>
          <w:tcPr>
            <w:tcW w:w="0" w:type="dxa"/>
            <w:vAlign w:val="bottom"/>
          </w:tcPr>
          <w:p>
            <w:pPr>
              <w:spacing w:after="0"/>
              <w:rPr>
                <w:sz w:val="1"/>
                <w:szCs w:val="1"/>
                <w:color w:val="auto"/>
              </w:rPr>
            </w:pPr>
          </w:p>
        </w:tc>
      </w:tr>
      <w:tr>
        <w:trPr>
          <w:trHeight w:val="20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 surrendered for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 of employee taxes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upon issuance of vested</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0" w:type="dxa"/>
            <w:vAlign w:val="bottom"/>
          </w:tcPr>
          <w:p>
            <w:pPr>
              <w:spacing w:after="0"/>
              <w:rPr>
                <w:sz w:val="1"/>
                <w:szCs w:val="1"/>
                <w:color w:val="auto"/>
              </w:rPr>
            </w:pPr>
          </w:p>
        </w:tc>
      </w:tr>
      <w:tr>
        <w:trPr>
          <w:trHeight w:val="188"/>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Preferred stock dividends -</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4,815</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(4,815)</w:t>
            </w: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paid in kind</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2026</w:t>
            </w:r>
          </w:p>
        </w:tc>
        <w:tc>
          <w:tcPr>
            <w:tcW w:w="9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93,321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55,365</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164,531</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686,122</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850,653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268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9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1940" w:type="dxa"/>
            <w:vAlign w:val="bottom"/>
            <w:vMerge w:val="continue"/>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85,433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54,897</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153,116</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747,848</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901,964</w:t>
            </w: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(9,390)</w:t>
            </w:r>
          </w:p>
        </w:tc>
        <w:tc>
          <w:tcPr>
            <w:tcW w:w="0" w:type="dxa"/>
            <w:vAlign w:val="bottom"/>
          </w:tcPr>
          <w:p>
            <w:pPr>
              <w:spacing w:after="0"/>
              <w:rPr>
                <w:sz w:val="1"/>
                <w:szCs w:val="1"/>
                <w:color w:val="auto"/>
              </w:rPr>
            </w:pPr>
          </w:p>
        </w:tc>
      </w:tr>
      <w:tr>
        <w:trPr>
          <w:trHeight w:val="16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Unrealized gain on interest</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88"/>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rate hedge, net of tax</w:t>
            </w:r>
          </w:p>
        </w:tc>
        <w:tc>
          <w:tcPr>
            <w:tcW w:w="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Amounts reclassified from</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accumulated other</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188"/>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comprehensive income</w:t>
            </w:r>
          </w:p>
        </w:tc>
        <w:tc>
          <w:tcPr>
            <w:tcW w:w="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0" w:type="dxa"/>
            <w:vAlign w:val="bottom"/>
          </w:tcPr>
          <w:p>
            <w:pPr>
              <w:spacing w:after="0"/>
              <w:rPr>
                <w:sz w:val="1"/>
                <w:szCs w:val="1"/>
                <w:color w:val="auto"/>
              </w:rPr>
            </w:pPr>
          </w:p>
        </w:tc>
      </w:tr>
      <w:tr>
        <w:trPr>
          <w:trHeight w:val="20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0" w:type="dxa"/>
            <w:vAlign w:val="bottom"/>
          </w:tcPr>
          <w:p>
            <w:pPr>
              <w:spacing w:after="0"/>
              <w:rPr>
                <w:sz w:val="1"/>
                <w:szCs w:val="1"/>
                <w:color w:val="auto"/>
              </w:rPr>
            </w:pPr>
          </w:p>
        </w:tc>
      </w:tr>
      <w:tr>
        <w:trPr>
          <w:trHeight w:val="23"/>
        </w:trPr>
        <w:tc>
          <w:tcPr>
            <w:tcW w:w="28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9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86,956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54,898</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155,390</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736,935</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892,678</w:t>
            </w:r>
          </w:p>
        </w:tc>
        <w:tc>
          <w:tcPr>
            <w:tcW w:w="0" w:type="dxa"/>
            <w:vAlign w:val="bottom"/>
          </w:tcPr>
          <w:p>
            <w:pPr>
              <w:spacing w:after="0"/>
              <w:rPr>
                <w:sz w:val="1"/>
                <w:szCs w:val="1"/>
                <w:color w:val="auto"/>
              </w:rPr>
            </w:pPr>
          </w:p>
        </w:tc>
      </w:tr>
      <w:tr>
        <w:trPr>
          <w:trHeight w:val="260"/>
        </w:trPr>
        <w:tc>
          <w:tcPr>
            <w:tcW w:w="1940" w:type="dxa"/>
            <w:vAlign w:val="bottom"/>
          </w:tcPr>
          <w:p>
            <w:pPr>
              <w:spacing w:after="0"/>
              <w:rPr>
                <w:sz w:val="22"/>
                <w:szCs w:val="22"/>
                <w:color w:val="auto"/>
              </w:rPr>
            </w:pPr>
          </w:p>
        </w:tc>
        <w:tc>
          <w:tcPr>
            <w:tcW w:w="268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9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1940" w:type="dxa"/>
            <w:vAlign w:val="bottom"/>
            <w:vMerge w:val="continue"/>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82,464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54,605</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147,733</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768,997</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918,583</w:t>
            </w: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(27,570)</w:t>
            </w:r>
          </w:p>
        </w:tc>
        <w:tc>
          <w:tcPr>
            <w:tcW w:w="0" w:type="dxa"/>
            <w:vAlign w:val="bottom"/>
          </w:tcPr>
          <w:p>
            <w:pPr>
              <w:spacing w:after="0"/>
              <w:rPr>
                <w:sz w:val="1"/>
                <w:szCs w:val="1"/>
                <w:color w:val="auto"/>
              </w:rPr>
            </w:pPr>
          </w:p>
        </w:tc>
      </w:tr>
      <w:tr>
        <w:trPr>
          <w:trHeight w:val="16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Unrealized gain on interest</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88"/>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rate hedge, net of tax</w:t>
            </w:r>
          </w:p>
        </w:tc>
        <w:tc>
          <w:tcPr>
            <w:tcW w:w="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Amounts reclassified from</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accumulated other</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88"/>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comprehensive income</w:t>
            </w:r>
          </w:p>
        </w:tc>
        <w:tc>
          <w:tcPr>
            <w:tcW w:w="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8,650</w:t>
            </w:r>
          </w:p>
        </w:tc>
        <w:tc>
          <w:tcPr>
            <w:tcW w:w="0" w:type="dxa"/>
            <w:vAlign w:val="bottom"/>
          </w:tcPr>
          <w:p>
            <w:pPr>
              <w:spacing w:after="0"/>
              <w:rPr>
                <w:sz w:val="1"/>
                <w:szCs w:val="1"/>
                <w:color w:val="auto"/>
              </w:rPr>
            </w:pPr>
          </w:p>
        </w:tc>
      </w:tr>
      <w:tr>
        <w:trPr>
          <w:trHeight w:val="20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6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 surrendered for</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 of employee taxes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upon issuance of vested</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0" w:type="dxa"/>
            <w:vAlign w:val="bottom"/>
          </w:tcPr>
          <w:p>
            <w:pPr>
              <w:spacing w:after="0"/>
              <w:rPr>
                <w:sz w:val="1"/>
                <w:szCs w:val="1"/>
                <w:color w:val="auto"/>
              </w:rPr>
            </w:pPr>
          </w:p>
        </w:tc>
      </w:tr>
      <w:tr>
        <w:trPr>
          <w:trHeight w:val="188"/>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Preferred stock dividends -</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paid in kind</w:t>
            </w:r>
          </w:p>
        </w:tc>
        <w:tc>
          <w:tcPr>
            <w:tcW w:w="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9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86,956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54,898</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155,390</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736,935</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892,678</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4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4"/>
                <w:szCs w:val="14"/>
                <w:color w:val="auto"/>
              </w:rPr>
            </w:pPr>
          </w:p>
        </w:tc>
        <w:tc>
          <w:tcPr>
            <w:tcW w:w="2480" w:type="dxa"/>
            <w:vAlign w:val="bottom"/>
            <w:gridSpan w:val="4"/>
          </w:tcPr>
          <w:p>
            <w:pPr>
              <w:jc w:val="right"/>
              <w:ind w:right="619"/>
              <w:spacing w:after="0" w:line="16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84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4"/>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(32,630)</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(27,570)</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98,062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97,611</w:t>
            </w: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 net of amount capitalized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7,970</w:t>
            </w: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(7,103)</w:t>
            </w: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assets and liabilities,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deferrals and accruals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7,467</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210"/>
        </w:trPr>
        <w:tc>
          <w:tcPr>
            <w:tcW w:w="8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 - continuing operations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76,645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74,459</w:t>
            </w:r>
          </w:p>
        </w:tc>
        <w:tc>
          <w:tcPr>
            <w:tcW w:w="0" w:type="dxa"/>
            <w:vAlign w:val="bottom"/>
          </w:tcPr>
          <w:p>
            <w:pPr>
              <w:spacing w:after="0"/>
              <w:rPr>
                <w:sz w:val="1"/>
                <w:szCs w:val="1"/>
                <w:color w:val="auto"/>
              </w:rPr>
            </w:pPr>
          </w:p>
        </w:tc>
      </w:tr>
      <w:tr>
        <w:trPr>
          <w:trHeight w:val="216"/>
        </w:trPr>
        <w:tc>
          <w:tcPr>
            <w:tcW w:w="8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operating activities - discontinued operations</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0" w:type="dxa"/>
            <w:vAlign w:val="bottom"/>
          </w:tcPr>
          <w:p>
            <w:pPr>
              <w:spacing w:after="0"/>
              <w:rPr>
                <w:sz w:val="1"/>
                <w:szCs w:val="1"/>
                <w:color w:val="auto"/>
              </w:rPr>
            </w:pPr>
          </w:p>
        </w:tc>
      </w:tr>
      <w:tr>
        <w:trPr>
          <w:trHeight w:val="210"/>
        </w:trPr>
        <w:tc>
          <w:tcPr>
            <w:tcW w:w="8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76,645</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72,208</w:t>
            </w:r>
          </w:p>
        </w:tc>
        <w:tc>
          <w:tcPr>
            <w:tcW w:w="0" w:type="dxa"/>
            <w:vAlign w:val="bottom"/>
          </w:tcPr>
          <w:p>
            <w:pPr>
              <w:spacing w:after="0"/>
              <w:rPr>
                <w:sz w:val="1"/>
                <w:szCs w:val="1"/>
                <w:color w:val="auto"/>
              </w:rPr>
            </w:pPr>
          </w:p>
        </w:tc>
      </w:tr>
      <w:tr>
        <w:trPr>
          <w:trHeight w:val="304"/>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(215,014)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(251,546)</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Government grants received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39,884</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escrow related to business acquisition</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6,471</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disbursed for acquisitions, net of cash acquired</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0"/>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(192,122)</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(209,915)</w:t>
            </w:r>
          </w:p>
        </w:tc>
        <w:tc>
          <w:tcPr>
            <w:tcW w:w="0" w:type="dxa"/>
            <w:vAlign w:val="bottom"/>
          </w:tcPr>
          <w:p>
            <w:pPr>
              <w:spacing w:after="0"/>
              <w:rPr>
                <w:sz w:val="1"/>
                <w:szCs w:val="1"/>
                <w:color w:val="auto"/>
              </w:rPr>
            </w:pPr>
          </w:p>
        </w:tc>
      </w:tr>
      <w:tr>
        <w:trPr>
          <w:trHeight w:val="304"/>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credit facility borrowings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(7,607)</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debt issuance and amendment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paid for equity award issuances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financing arrangements and 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0" w:type="dxa"/>
            <w:vAlign w:val="bottom"/>
          </w:tcPr>
          <w:p>
            <w:pPr>
              <w:spacing w:after="0"/>
              <w:rPr>
                <w:sz w:val="1"/>
                <w:szCs w:val="1"/>
                <w:color w:val="auto"/>
              </w:rPr>
            </w:pPr>
          </w:p>
        </w:tc>
      </w:tr>
      <w:tr>
        <w:trPr>
          <w:trHeight w:val="210"/>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112,929</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114,056</w:t>
            </w:r>
          </w:p>
        </w:tc>
        <w:tc>
          <w:tcPr>
            <w:tcW w:w="0" w:type="dxa"/>
            <w:vAlign w:val="bottom"/>
          </w:tcPr>
          <w:p>
            <w:pPr>
              <w:spacing w:after="0"/>
              <w:rPr>
                <w:sz w:val="1"/>
                <w:szCs w:val="1"/>
                <w:color w:val="auto"/>
              </w:rPr>
            </w:pPr>
          </w:p>
        </w:tc>
      </w:tr>
      <w:tr>
        <w:trPr>
          <w:trHeight w:val="210"/>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(23,651)</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48,204</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46,272</w:t>
            </w:r>
          </w:p>
        </w:tc>
        <w:tc>
          <w:tcPr>
            <w:tcW w:w="0" w:type="dxa"/>
            <w:vAlign w:val="bottom"/>
          </w:tcPr>
          <w:p>
            <w:pPr>
              <w:spacing w:after="0"/>
              <w:rPr>
                <w:sz w:val="1"/>
                <w:szCs w:val="1"/>
                <w:color w:val="auto"/>
              </w:rPr>
            </w:pPr>
          </w:p>
        </w:tc>
      </w:tr>
      <w:tr>
        <w:trPr>
          <w:trHeight w:val="210"/>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45,656</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22,621</w:t>
            </w:r>
          </w:p>
        </w:tc>
        <w:tc>
          <w:tcPr>
            <w:tcW w:w="0" w:type="dxa"/>
            <w:vAlign w:val="bottom"/>
          </w:tcPr>
          <w:p>
            <w:pPr>
              <w:spacing w:after="0"/>
              <w:rPr>
                <w:sz w:val="1"/>
                <w:szCs w:val="1"/>
                <w:color w:val="auto"/>
              </w:rPr>
            </w:pPr>
          </w:p>
        </w:tc>
      </w:tr>
      <w:tr>
        <w:trPr>
          <w:trHeight w:val="26"/>
        </w:trPr>
        <w:tc>
          <w:tcPr>
            <w:tcW w:w="8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(27,063)</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(16,272)</w:t>
            </w:r>
          </w:p>
        </w:tc>
        <w:tc>
          <w:tcPr>
            <w:tcW w:w="0" w:type="dxa"/>
            <w:vAlign w:val="bottom"/>
          </w:tcPr>
          <w:p>
            <w:pPr>
              <w:spacing w:after="0"/>
              <w:rPr>
                <w:sz w:val="1"/>
                <w:szCs w:val="1"/>
                <w:color w:val="auto"/>
              </w:rPr>
            </w:pPr>
          </w:p>
        </w:tc>
      </w:tr>
      <w:tr>
        <w:trPr>
          <w:trHeight w:val="26"/>
        </w:trPr>
        <w:tc>
          <w:tcPr>
            <w:tcW w:w="8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Income taxes paid</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4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4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6"/>
          <w:szCs w:val="16"/>
          <w:color w:val="auto"/>
        </w:rPr>
        <w:t xml:space="preserve">The following table provides the composition of the company’s cash, cash equivalents, and restricted cash balances as of </w:t>
      </w:r>
      <w:r>
        <w:rPr>
          <w:rFonts w:ascii="Times New Roman" w:cs="Times New Roman" w:eastAsia="Times New Roman" w:hAnsi="Times New Roman"/>
          <w:sz w:val="17"/>
          <w:szCs w:val="17"/>
          <w:color w:val="auto"/>
        </w:rPr>
        <w:t>September 30, 2026 and December 31, 2025</w:t>
      </w:r>
      <w:r>
        <w:rPr>
          <w:rFonts w:ascii="Times New Roman" w:cs="Times New Roman" w:eastAsia="Times New Roman" w:hAnsi="Times New Roman"/>
          <w:sz w:val="16"/>
          <w:szCs w:val="16"/>
          <w:color w:val="auto"/>
        </w:rPr>
        <w:t xml:space="preserve"> as shown above:</w:t>
      </w:r>
    </w:p>
    <w:tbl>
      <w:tblPr>
        <w:tblLayout w:type="fixed"/>
        <w:tblInd w:w="2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40"/>
              <w:spacing w:after="0" w:line="186"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360" w:type="dxa"/>
            <w:vAlign w:val="bottom"/>
          </w:tcPr>
          <w:p>
            <w:pPr>
              <w:jc w:val="right"/>
              <w:ind w:right="155"/>
              <w:spacing w:after="0" w:line="186"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27,259</w:t>
            </w:r>
          </w:p>
        </w:tc>
      </w:tr>
      <w:tr>
        <w:trPr>
          <w:trHeight w:val="216"/>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27,009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20,945</w:t>
            </w:r>
          </w:p>
        </w:tc>
      </w:tr>
      <w:tr>
        <w:trPr>
          <w:trHeight w:val="213"/>
        </w:trPr>
        <w:tc>
          <w:tcPr>
            <w:tcW w:w="8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45,656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48,204</w:t>
            </w:r>
          </w:p>
        </w:tc>
      </w:tr>
      <w:tr>
        <w:trPr>
          <w:trHeight w:val="23"/>
        </w:trPr>
        <w:tc>
          <w:tcPr>
            <w:tcW w:w="8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Other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Shenandoah Telecommunications Company and its subsidiaries (collectively, “Shentel”, “we”, “our”, “us”, or the “Company”) provide broadband data, video and voice services to residential and commercial customers in portions of Virginia, West Virginia, Maryland, Pennsylvania, Kentucky, Delaware, Ohio and Indiana, via fiber optic and hybrid fiber coaxial (“HFC”) cable networks. We also lease dark fiber and provide Ethernet and Wavelength fiber optic services to enterprise and wholesale customers throughout the entirety of our service area. Shentel’s Broadband business also provides voice and digital subscriber line (“DSL”) services as a Rural Local Exchange Carrier (“RLEC”) to customers in Shenandoah County and portions of adjacent counties in Virginia, and in Ross County and portions of adjacent counties in Ohio. These integrated networks are connected by a fiber network.</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Times New Roman" w:cs="Times New Roman" w:eastAsia="Times New Roman" w:hAnsi="Times New Roman"/>
          <w:sz w:val="18"/>
          <w:szCs w:val="18"/>
          <w:color w:val="000000"/>
        </w:rPr>
        <w:t>year ended December 31,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2025.</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estimates and assumptions, including, but not limited to, revenue recognition, stock-based compensation, estimated useful lives of assets, impairment of goodwill and indefinite-lived intangible assets, realizability of intangible assets subject to amortization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In October 2023, the Financial Accounting Standards Board (“FASB”) issued Accounting Standards Update (“ASU”) 2023-06, “Disclosure Improvements: Codification Amendments in Response to the Securities and Exchange Commission’s (“SEC”) Disclosure Update and Simplification Initiative,” (“ASU 2023-06”), which aligns the disclosure and presentation requirements of a variety of the FASB’s </w:t>
      </w:r>
      <w:r>
        <w:rPr>
          <w:rFonts w:ascii="Times New Roman" w:cs="Times New Roman" w:eastAsia="Times New Roman" w:hAnsi="Times New Roman"/>
          <w:sz w:val="18"/>
          <w:szCs w:val="18"/>
          <w:color w:val="000000"/>
        </w:rPr>
        <w:t>Accounting Standards Codification (“ASC”)</w:t>
      </w:r>
      <w:r>
        <w:rPr>
          <w:rFonts w:ascii="Times New Roman" w:cs="Times New Roman" w:eastAsia="Times New Roman" w:hAnsi="Times New Roman"/>
          <w:sz w:val="18"/>
          <w:szCs w:val="18"/>
          <w:color w:val="212529"/>
        </w:rPr>
        <w:t xml:space="preserve"> Topics with the requirements described in the SEC’s Disclosure Update and Simplification Initiative. ASU 2023-06 will become effective for each amendment on the effective date of the SEC’s corresponding disclosure rule changes; however, if by June 30, 2027, the SEC has not removed the applicable requirement from Regulation S-X or Regulation S-K, the pending content of the related amendment will be removed from the Codification and will not become effective for any entity. The Company is currently assessing the impact of adopting ASU 2023-06; however, the ASU is not expected to have a material effect on the Company's current financial position, results of operations or financial statement disclosures.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In November 2024, FASB issued ASU 2024-03 “Income Statement—Reporting Comprehensive Income—Expense Disaggregation Disclosures (Subtopic 220-40)” (“ASU 2024-03”). This accounting update requires disclosure of disaggregated expense in prescribed categories underlying any relevant income statement expense caption. The updated disclosure requirements are to be adopted for annual periods beginning after December 15, 2026, and interim reporting periods beginning after December 15, 2027. The Company is currently assessing the impact of adopting ASU 2024-03 on the consolidated financial statements and related disclosures.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In December 2025, the FASB issued ASU 2025-10, “Government Grants (Topic 832): Accounting for Government Grants Received by Business Entities” (“ASU 2025-10”). This accounting update establishes guidance for the recognition, measurement, presentation and disclosure of government grants. The updated requirements are effective for public business entities for annual reporting periods beginning after December 15, 2028, and interim periods therein, with early adoption permitted. The Company is currently assessing the impact of adopting ASU 2025-10 on its consolidated financial statements and related disclosures.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212529"/>
        </w:rPr>
        <w:t>In April 2026, the FASB issued ASU 2026-01, “Equity (Topic 505): Initial Measurement of Paid-in-Kind Dividends on Equity-Classified Preferred Stock” (“ASU 2026-01”). This accounting update clarifies the initial measurement of paid</w:t>
      </w:r>
      <w:r>
        <w:rPr>
          <w:rFonts w:ascii="MS PGothic" w:cs="MS PGothic" w:eastAsia="MS PGothic" w:hAnsi="MS PGothic"/>
          <w:sz w:val="18"/>
          <w:szCs w:val="18"/>
          <w:color w:val="212529"/>
        </w:rPr>
        <w:t>‑</w:t>
      </w:r>
      <w:r>
        <w:rPr>
          <w:rFonts w:ascii="Times New Roman" w:cs="Times New Roman" w:eastAsia="Times New Roman" w:hAnsi="Times New Roman"/>
          <w:sz w:val="18"/>
          <w:szCs w:val="18"/>
          <w:color w:val="212529"/>
        </w:rPr>
        <w:t>in</w:t>
      </w:r>
      <w:r>
        <w:rPr>
          <w:rFonts w:ascii="MS PGothic" w:cs="MS PGothic" w:eastAsia="MS PGothic" w:hAnsi="MS PGothic"/>
          <w:sz w:val="18"/>
          <w:szCs w:val="18"/>
          <w:color w:val="212529"/>
        </w:rPr>
        <w:t>‑</w:t>
      </w:r>
      <w:r>
        <w:rPr>
          <w:rFonts w:ascii="Times New Roman" w:cs="Times New Roman" w:eastAsia="Times New Roman" w:hAnsi="Times New Roman"/>
          <w:sz w:val="18"/>
          <w:szCs w:val="18"/>
          <w:color w:val="212529"/>
        </w:rPr>
        <w:t>kind dividends on equity</w:t>
      </w:r>
      <w:r>
        <w:rPr>
          <w:rFonts w:ascii="MS PGothic" w:cs="MS PGothic" w:eastAsia="MS PGothic" w:hAnsi="MS PGothic"/>
          <w:sz w:val="18"/>
          <w:szCs w:val="18"/>
          <w:color w:val="212529"/>
        </w:rPr>
        <w:t>‑</w:t>
      </w:r>
      <w:r>
        <w:rPr>
          <w:rFonts w:ascii="Times New Roman" w:cs="Times New Roman" w:eastAsia="Times New Roman" w:hAnsi="Times New Roman"/>
          <w:sz w:val="18"/>
          <w:szCs w:val="18"/>
          <w:color w:val="212529"/>
        </w:rPr>
        <w:t>classified preferred stock. The updated requirements are effective for public business entities or annual reporting periods beginning after December 15, 2026, and interim reporting periods within those annual reporting periods. Early adoption is permitted in an interim or annual reporting period in which financial statements have not yet been issued or made available for issuance. The Company is currently assessing the impact of adopting ASU 2026-01 on its consolidated financial statements and related disclosures.</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additional material developments related to recently issued accounting standards beyond those noted above, including the expected dates of adoption and estimated effects on the Company’s unaudited condensed consolidated financial statements and note disclosures from those disclosed in the Company’s Annual Report on Form 10-K for its fiscal year ended December 31, 2025, that would be expected to impact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from Contracts with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by activity type were as follows: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5"/>
        </w:trPr>
        <w:tc>
          <w:tcPr>
            <w:tcW w:w="5540" w:type="dxa"/>
            <w:vAlign w:val="bottom"/>
          </w:tcPr>
          <w:p>
            <w:pPr>
              <w:spacing w:after="0" w:line="214" w:lineRule="exact"/>
              <w:rPr>
                <w:sz w:val="20"/>
                <w:szCs w:val="20"/>
                <w:color w:val="auto"/>
              </w:rPr>
            </w:pPr>
            <w:r>
              <w:rPr>
                <w:rFonts w:ascii="Times New Roman" w:cs="Times New Roman" w:eastAsia="Times New Roman" w:hAnsi="Times New Roman"/>
                <w:sz w:val="18"/>
                <w:szCs w:val="18"/>
                <w:color w:val="auto"/>
              </w:rPr>
              <w:t>Residential &amp; SMB - Incumbent Broadband Markets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39,103</w:t>
            </w:r>
          </w:p>
        </w:tc>
        <w:tc>
          <w:tcPr>
            <w:tcW w:w="14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41,935</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120,528</w:t>
            </w:r>
          </w:p>
        </w:tc>
        <w:tc>
          <w:tcPr>
            <w:tcW w:w="14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128,131</w:t>
            </w:r>
          </w:p>
        </w:tc>
        <w:tc>
          <w:tcPr>
            <w:tcW w:w="0" w:type="dxa"/>
            <w:vAlign w:val="bottom"/>
          </w:tcPr>
          <w:p>
            <w:pPr>
              <w:spacing w:after="0"/>
              <w:rPr>
                <w:sz w:val="1"/>
                <w:szCs w:val="1"/>
                <w:color w:val="auto"/>
              </w:rPr>
            </w:pPr>
          </w:p>
        </w:tc>
      </w:tr>
      <w:tr>
        <w:trPr>
          <w:trHeight w:val="233"/>
        </w:trPr>
        <w:tc>
          <w:tcPr>
            <w:tcW w:w="554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Residential &amp; SMB - Glo Fiber Expansion Markets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28,166</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79,283</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59,545</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Fiber</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59,052</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RLEC &amp; Other</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0" w:type="dxa"/>
            <w:vAlign w:val="bottom"/>
          </w:tcPr>
          <w:p>
            <w:pPr>
              <w:spacing w:after="0"/>
              <w:rPr>
                <w:sz w:val="1"/>
                <w:szCs w:val="1"/>
                <w:color w:val="auto"/>
              </w:rPr>
            </w:pPr>
          </w:p>
        </w:tc>
      </w:tr>
      <w:tr>
        <w:trPr>
          <w:trHeight w:val="223"/>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93,934</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89,796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279,549</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266,262</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60" w:hanging="328"/>
        <w:spacing w:after="0" w:line="259"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from residential and small and medium business (“SMB”) customers in Incumbent Broadband Markets is primarily earned through the Company’s provision of data, video and voice services over primarily HFC cable and to a lesser extent fiber to the home (“FTTH”) networks in incumbent markets.</w:t>
      </w:r>
    </w:p>
    <w:p>
      <w:pPr>
        <w:ind w:left="660" w:right="20" w:hanging="328"/>
        <w:spacing w:after="0" w:line="283"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from residential and SMB customers in Glo Fiber Expansion Markets is primarily earned through the Company’s provision of data, video and voice services over FTTH networks in new greenfield expansion markets.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Shentel had $21.9 million and $19.5 million of gross trade receivables from customers as of September 30,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5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Company’s contract asset and contract liability balances and their respective locations in the unaudited condensed consolidated balance sheets:</w:t>
      </w:r>
    </w:p>
    <w:tbl>
      <w:tblPr>
        <w:tblLayout w:type="fixed"/>
        <w:tblInd w:w="20" w:type="dxa"/>
        <w:tblCellMar>
          <w:top w:w="0" w:type="dxa"/>
          <w:left w:w="0" w:type="dxa"/>
          <w:bottom w:w="0" w:type="dxa"/>
          <w:right w:w="0" w:type="dxa"/>
        </w:tblCellMar>
      </w:tblPr>
      <w:tr>
        <w:trPr>
          <w:trHeight w:val="185"/>
        </w:trPr>
        <w:tc>
          <w:tcPr>
            <w:tcW w:w="8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6"/>
                <w:szCs w:val="16"/>
                <w:color w:val="auto"/>
              </w:rPr>
            </w:pPr>
          </w:p>
        </w:tc>
        <w:tc>
          <w:tcPr>
            <w:tcW w:w="1480" w:type="dxa"/>
            <w:vAlign w:val="bottom"/>
            <w:gridSpan w:val="2"/>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280" w:type="dxa"/>
            <w:vAlign w:val="bottom"/>
          </w:tcPr>
          <w:p>
            <w:pPr>
              <w:jc w:val="right"/>
              <w:ind w:right="110"/>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16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5"/>
        </w:trPr>
        <w:tc>
          <w:tcPr>
            <w:tcW w:w="8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34"/>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charges and other</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0" w:type="dxa"/>
            <w:vAlign w:val="bottom"/>
          </w:tcPr>
          <w:p>
            <w:pPr>
              <w:spacing w:after="0"/>
              <w:rPr>
                <w:sz w:val="1"/>
                <w:szCs w:val="1"/>
                <w:color w:val="auto"/>
              </w:rPr>
            </w:pPr>
          </w:p>
        </w:tc>
      </w:tr>
      <w:tr>
        <w:trPr>
          <w:trHeight w:val="21"/>
        </w:trPr>
        <w:tc>
          <w:tcPr>
            <w:tcW w:w="8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8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Advanced billings and customer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0" w:type="dxa"/>
            <w:vAlign w:val="bottom"/>
          </w:tcPr>
          <w:p>
            <w:pPr>
              <w:spacing w:after="0"/>
              <w:rPr>
                <w:sz w:val="1"/>
                <w:szCs w:val="1"/>
                <w:color w:val="auto"/>
              </w:rPr>
            </w:pPr>
          </w:p>
        </w:tc>
      </w:tr>
      <w:tr>
        <w:trPr>
          <w:trHeight w:val="234"/>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24,575</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contract assets primarily include commissions incurred to acquire contracts with customers. The Company incurs commission expenses related to in-house sales teams and third-party vendors which are capitalized and amortized over the expected customer benefit period, which is approximately six years. The Company recognized $1.2 million and $1.0 million in amortization of capitalized commission expenses during the three months ended September 30, 2026 and 2025, respectively. The Company recognized $3.3 million and $2.9 million in amortization of capitalized commission expenses during the nine months ended September 30, 2026 and 2025, respectively. This expense is recorded in selling, general and administrative expenses in the Company’s unaudited condensed consolidated statements of operations.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contract liabilities include services that are billed in advance and recorded as deferred revenue, as well as installation fees that are charged upfront without transfer of commensurate goods or services to the customer. Shentel expects its current contract liability balances to be recognized as revenues during the twelve-month period following the respective balance sheet date. The majority of Shentel’s non-current contract liability balance is expected to be recognized as revenues within approximately 4 years. Revenues recognized related to contract liabilities existing at January 1, 2026 and 2025 were $0.9 million and $0.6 million for the three months ended September 30, 2026 and 2025, respectively, and $12.7 million and $11.3 million during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consisted of the following:</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80" w:type="dxa"/>
            <w:vAlign w:val="bottom"/>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 investments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SERP investments at fair value: </w:t>
      </w:r>
      <w:r>
        <w:rPr>
          <w:rFonts w:ascii="Times New Roman" w:cs="Times New Roman" w:eastAsia="Times New Roman" w:hAnsi="Times New Roman"/>
          <w:sz w:val="18"/>
          <w:szCs w:val="18"/>
          <w:color w:val="auto"/>
        </w:rPr>
        <w:t>The fair value of the supplemental executive retirement plan (“SERP”) investments is based on unadjusted quoted prices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markets and are classified as Level 1 of the fair value hierarchy.</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Cost method investments</w:t>
      </w:r>
      <w:r>
        <w:rPr>
          <w:rFonts w:ascii="Times New Roman" w:cs="Times New Roman" w:eastAsia="Times New Roman" w:hAnsi="Times New Roman"/>
          <w:sz w:val="18"/>
          <w:szCs w:val="18"/>
          <w:color w:val="auto"/>
        </w:rPr>
        <w:t>: Shentel’s primary cost method investment in CoBank’s Class A common stock, derived from the CoBank patronage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substantially all of the Company’s cost method investments with a balance of $12.2 million and $12.6 million as of September 30, 2026 and December 31, 2025, respectively. As further described in Note 8, Debt, on December 5, 2025, Shentel completed a refinancing of the Company’s debt arrangements which resulted in the repayment of the outstanding long-term debt obligations under the Previous Credit Agreement. CoBank patronage income will no longer be earned beginning in 2026.</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5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Property, Plant and Equipment</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16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520" w:type="dxa"/>
            <w:vAlign w:val="bottom"/>
            <w:gridSpan w:val="2"/>
            <w:vMerge w:val="continue"/>
          </w:tcPr>
          <w:p>
            <w:pPr>
              <w:spacing w:after="0"/>
              <w:rPr>
                <w:sz w:val="21"/>
                <w:szCs w:val="21"/>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Lives</w:t>
            </w:r>
          </w:p>
        </w:tc>
        <w:tc>
          <w:tcPr>
            <w:tcW w:w="16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3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 years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0" w:type="dxa"/>
            <w:vAlign w:val="bottom"/>
          </w:tcPr>
          <w:p>
            <w:pPr>
              <w:spacing w:after="0"/>
              <w:rPr>
                <w:sz w:val="1"/>
                <w:szCs w:val="1"/>
                <w:color w:val="auto"/>
              </w:rPr>
            </w:pPr>
          </w:p>
        </w:tc>
      </w:tr>
      <w:tr>
        <w:trPr>
          <w:trHeight w:val="22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structures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10 - 45 years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54,562</w:t>
            </w:r>
          </w:p>
        </w:tc>
        <w:tc>
          <w:tcPr>
            <w:tcW w:w="0" w:type="dxa"/>
            <w:vAlign w:val="bottom"/>
          </w:tcPr>
          <w:p>
            <w:pPr>
              <w:spacing w:after="0"/>
              <w:rPr>
                <w:sz w:val="1"/>
                <w:szCs w:val="1"/>
                <w:color w:val="auto"/>
              </w:rPr>
            </w:pPr>
          </w:p>
        </w:tc>
      </w:tr>
      <w:tr>
        <w:trPr>
          <w:trHeight w:val="22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Cable and fiber</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12 - 30 years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1,718,367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1,519,669</w:t>
            </w:r>
          </w:p>
        </w:tc>
        <w:tc>
          <w:tcPr>
            <w:tcW w:w="0" w:type="dxa"/>
            <w:vAlign w:val="bottom"/>
          </w:tcPr>
          <w:p>
            <w:pPr>
              <w:spacing w:after="0"/>
              <w:rPr>
                <w:sz w:val="1"/>
                <w:szCs w:val="1"/>
                <w:color w:val="auto"/>
              </w:rPr>
            </w:pPr>
          </w:p>
        </w:tc>
      </w:tr>
      <w:tr>
        <w:trPr>
          <w:trHeight w:val="23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4 - 12 years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496,977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476,939</w:t>
            </w:r>
          </w:p>
        </w:tc>
        <w:tc>
          <w:tcPr>
            <w:tcW w:w="0" w:type="dxa"/>
            <w:vAlign w:val="bottom"/>
          </w:tcPr>
          <w:p>
            <w:pPr>
              <w:spacing w:after="0"/>
              <w:rPr>
                <w:sz w:val="1"/>
                <w:szCs w:val="1"/>
                <w:color w:val="auto"/>
              </w:rPr>
            </w:pPr>
          </w:p>
        </w:tc>
      </w:tr>
      <w:tr>
        <w:trPr>
          <w:trHeight w:val="218"/>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plant in service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2,275,585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2,059,367</w:t>
            </w:r>
          </w:p>
        </w:tc>
        <w:tc>
          <w:tcPr>
            <w:tcW w:w="0" w:type="dxa"/>
            <w:vAlign w:val="bottom"/>
          </w:tcPr>
          <w:p>
            <w:pPr>
              <w:spacing w:after="0"/>
              <w:rPr>
                <w:sz w:val="1"/>
                <w:szCs w:val="1"/>
                <w:color w:val="auto"/>
              </w:rPr>
            </w:pPr>
          </w:p>
        </w:tc>
      </w:tr>
      <w:tr>
        <w:trPr>
          <w:trHeight w:val="23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Plant under construction</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141,678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181,060</w:t>
            </w:r>
          </w:p>
        </w:tc>
        <w:tc>
          <w:tcPr>
            <w:tcW w:w="0" w:type="dxa"/>
            <w:vAlign w:val="bottom"/>
          </w:tcPr>
          <w:p>
            <w:pPr>
              <w:spacing w:after="0"/>
              <w:rPr>
                <w:sz w:val="1"/>
                <w:szCs w:val="1"/>
                <w:color w:val="auto"/>
              </w:rPr>
            </w:pPr>
          </w:p>
        </w:tc>
      </w:tr>
      <w:tr>
        <w:trPr>
          <w:trHeight w:val="218"/>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2,417,263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2,240,427</w:t>
            </w:r>
          </w:p>
        </w:tc>
        <w:tc>
          <w:tcPr>
            <w:tcW w:w="0" w:type="dxa"/>
            <w:vAlign w:val="bottom"/>
          </w:tcPr>
          <w:p>
            <w:pPr>
              <w:spacing w:after="0"/>
              <w:rPr>
                <w:sz w:val="1"/>
                <w:szCs w:val="1"/>
                <w:color w:val="auto"/>
              </w:rPr>
            </w:pPr>
          </w:p>
        </w:tc>
      </w:tr>
      <w:tr>
        <w:trPr>
          <w:trHeight w:val="23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(706,119)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(638,818)</w:t>
            </w:r>
          </w:p>
        </w:tc>
        <w:tc>
          <w:tcPr>
            <w:tcW w:w="0" w:type="dxa"/>
            <w:vAlign w:val="bottom"/>
          </w:tcPr>
          <w:p>
            <w:pPr>
              <w:spacing w:after="0"/>
              <w:rPr>
                <w:sz w:val="1"/>
                <w:szCs w:val="1"/>
                <w:color w:val="auto"/>
              </w:rPr>
            </w:pPr>
          </w:p>
        </w:tc>
      </w:tr>
      <w:tr>
        <w:trPr>
          <w:trHeight w:val="223"/>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1,711,144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1,601,609</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net increased primarily due to capital expenditures to support the Company’s Glo Fiber market expansion. The Company’s accounts payable as of September 30, 2026 and December 31, 2025 included amounts associated with capital expenditures of approximately $59.2 million and $55.6 million, respectively.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was $33.3 million and $34.0 million during the three months ended September 30, 2026 and 2025, respectively, of which $0.8 million and $3.2 million represents write-offs of plant under construction inventory assets. Depreciation and amortization expense was $98.1 million and $97.6 million during the nine months ended September 30, 2026 and 2025, respectively, of which $3.8 million and $7.4 million represents write-offs of plant under construction inventory assets. The write-off primarily related to permitting and engineering costs for markets abandoned due to changing market returns. The amounts are presented in depreciation and amortization in the Company’s unaudited condensed consolidated statements of operations.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assets consisted of the following:</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6"/>
                <w:szCs w:val="16"/>
                <w:color w:val="auto"/>
              </w:rPr>
            </w:pPr>
          </w:p>
        </w:tc>
        <w:tc>
          <w:tcPr>
            <w:tcW w:w="92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Pr>
          <w:p>
            <w:pPr>
              <w:spacing w:after="0"/>
              <w:rPr>
                <w:sz w:val="16"/>
                <w:szCs w:val="16"/>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 w:type="dxa"/>
            <w:vAlign w:val="bottom"/>
          </w:tcPr>
          <w:p>
            <w:pPr>
              <w:spacing w:after="0"/>
              <w:rPr>
                <w:sz w:val="16"/>
                <w:szCs w:val="16"/>
                <w:color w:val="auto"/>
              </w:rPr>
            </w:pPr>
          </w:p>
        </w:tc>
        <w:tc>
          <w:tcPr>
            <w:tcW w:w="96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6"/>
                <w:szCs w:val="16"/>
                <w:color w:val="auto"/>
              </w:rPr>
            </w:pPr>
          </w:p>
        </w:tc>
        <w:tc>
          <w:tcPr>
            <w:tcW w:w="152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Amortization and</w:t>
            </w:r>
          </w:p>
        </w:tc>
        <w:tc>
          <w:tcPr>
            <w:tcW w:w="220" w:type="dxa"/>
            <w:vAlign w:val="bottom"/>
          </w:tcPr>
          <w:p>
            <w:pPr>
              <w:spacing w:after="0"/>
              <w:rPr>
                <w:sz w:val="16"/>
                <w:szCs w:val="16"/>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0"/>
        </w:trPr>
        <w:tc>
          <w:tcPr>
            <w:tcW w:w="3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and Other</w:t>
            </w: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67,538</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67,538</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Cable franchise rights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FCC Spectrum licenses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0" w:type="dxa"/>
            <w:vAlign w:val="bottom"/>
          </w:tcPr>
          <w:p>
            <w:pPr>
              <w:spacing w:after="0"/>
              <w:rPr>
                <w:sz w:val="1"/>
                <w:szCs w:val="1"/>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Railroad crossing rights and other</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intangibles</w:t>
            </w: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77,047</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77,013</w:t>
            </w:r>
          </w:p>
        </w:tc>
        <w:tc>
          <w:tcPr>
            <w:tcW w:w="0" w:type="dxa"/>
            <w:vAlign w:val="bottom"/>
          </w:tcPr>
          <w:p>
            <w:pPr>
              <w:spacing w:after="0"/>
              <w:rPr>
                <w:sz w:val="1"/>
                <w:szCs w:val="1"/>
                <w:color w:val="auto"/>
              </w:rPr>
            </w:pPr>
          </w:p>
        </w:tc>
      </w:tr>
      <w:tr>
        <w:trPr>
          <w:trHeight w:val="47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Finite-lived intangibles: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0" w:type="dxa"/>
            <w:vAlign w:val="bottom"/>
          </w:tcPr>
          <w:p>
            <w:pPr>
              <w:spacing w:after="0"/>
              <w:rPr>
                <w:sz w:val="1"/>
                <w:szCs w:val="1"/>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intangibles</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120,596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120,562</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89,353</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was $0.4 million and $0.5 million during the three months ended September 30, 2026 and 2025, respectively, and $1.2 million and $1.4 million during the nine months ended September 30, 2026 and 2025, respectively.</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October 1, 2025, management concluded that the estimated fair value of the broadband reporting unit exceeded the carrying value by 8%. During the three and nine months ended September 30, 2026, the Company performed goodwill impairment monitoring procedures and identified no indicators of impairment or triggering events. The Company is currently performing its annual goodwill impairment analysis of the broadband reporting unit, which is not complete as of the date of this filing. The Company will continue to monitor its reporting unit for any triggers that could impact recoverability of goodwill.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Other Assets and Accrued Liabilities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classified as current assets, included the following: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818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maintenance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15,198</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charges and other assets, classified as long-term assets, included the following:</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18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18,652</w:t>
            </w:r>
          </w:p>
        </w:tc>
        <w:tc>
          <w:tcPr>
            <w:tcW w:w="0" w:type="dxa"/>
            <w:vAlign w:val="bottom"/>
          </w:tcPr>
          <w:p>
            <w:pPr>
              <w:spacing w:after="0"/>
              <w:rPr>
                <w:sz w:val="1"/>
                <w:szCs w:val="1"/>
                <w:color w:val="auto"/>
              </w:rPr>
            </w:pPr>
          </w:p>
        </w:tc>
      </w:tr>
      <w:tr>
        <w:trPr>
          <w:trHeight w:val="21"/>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Accrued liabilities and other, classified as current liabilities, included the following:</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18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programming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liabilities, classified as long-term liabilities, included the following:</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818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27,246</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32,340</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Reduction in Force</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23, 2026, the Company announced a reduction in force of approximately 10% of its employees to prepare and align the business with the wind-down of the Glo Fiber construction phase that is expected to be substantially complete by the end of 2026. During the three and nine months ended September 30, 2026, Shentel recorded $0.1 million and $2.3 million, respectively, in severance expense, included in restructuring, integration and acquisition expense in the unaudited condensed consolidated statements of operations. For the nine months ended September 30, 2026, the Company made severance payments of $0.5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various broadband network sites, fiber optic cable routes, warehouses, retail stores and office facilities for use in our business.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9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320" w:type="dxa"/>
            <w:vAlign w:val="bottom"/>
          </w:tcPr>
          <w:p>
            <w:pPr>
              <w:spacing w:after="0"/>
              <w:rPr>
                <w:sz w:val="16"/>
                <w:szCs w:val="16"/>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60" w:type="dxa"/>
            <w:vAlign w:val="bottom"/>
            <w:gridSpan w:val="4"/>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18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6"/>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960" w:type="dxa"/>
            <w:vAlign w:val="bottom"/>
            <w:gridSpan w:val="2"/>
          </w:tcPr>
          <w:p>
            <w:pPr>
              <w:ind w:left="20"/>
              <w:spacing w:after="0" w:line="237"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w:t>
      </w:r>
    </w:p>
    <w:p>
      <w:pPr>
        <w:spacing w:after="0" w:line="2"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expense is presented in cost of services or selling, general and administrative expense based on the use of the relevant facility.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expected maturity of lease liabilities as of September 30, 2026:</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20" w:type="dxa"/>
            <w:vAlign w:val="bottom"/>
          </w:tcPr>
          <w:p>
            <w:pPr>
              <w:spacing w:after="0"/>
              <w:rPr>
                <w:sz w:val="22"/>
                <w:szCs w:val="22"/>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(remainder of the year)</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7,267</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5,013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26,650</w:t>
            </w: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(4,705)</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12,789</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18,526</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operating and finance leases was as follows:</w:t>
            </w: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4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513"/>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right"/>
              <w:ind w:right="9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4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189"/>
        </w:trPr>
        <w:tc>
          <w:tcPr>
            <w:tcW w:w="5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assets obtained in exchange for new</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lease liabilities (includes new leases or modification of existing</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other operating lease arrangements which generate revenue from leasing the excess fiber capacity of its fiber network assets. Contract terms for these arrangements can range from 1 to 40 years and are billed monthly. Lease revenue from these arrangements was $1.8 million and $5.2 million for the three and nine months ended September 30, 2026, respectively, and $1.7 million and $5.1 million for the three and nine months ended September 30, 2025, respectively. These amounts are presented in service revenue and other in the Company’s unaudited condensed consolidated statements of operations. Contractual minimum rental receipts expected under the lease agreements in place as of September 30, 2026 is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0" w:type="dxa"/>
            <w:vAlign w:val="bottom"/>
          </w:tcPr>
          <w:p>
            <w:pPr>
              <w:spacing w:after="0"/>
              <w:rPr>
                <w:sz w:val="1"/>
                <w:szCs w:val="1"/>
                <w:color w:val="auto"/>
              </w:rPr>
            </w:pPr>
          </w:p>
        </w:tc>
      </w:tr>
      <w:tr>
        <w:trPr>
          <w:trHeight w:val="21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(remainder of the year)</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34"/>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15,898</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31,323</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Debt</w:t>
            </w: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92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Shentel’s outstanding long-term debt obligations as of September 30, 2026 and December 31, 2025 are as follows: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Interest Rates</w:t>
            </w: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5920" w:type="dxa"/>
            <w:vAlign w:val="bottom"/>
            <w:vMerge w:val="continue"/>
          </w:tcPr>
          <w:p>
            <w:pPr>
              <w:spacing w:after="0"/>
              <w:rPr>
                <w:sz w:val="21"/>
                <w:szCs w:val="21"/>
                <w:color w:val="auto"/>
              </w:rPr>
            </w:pPr>
          </w:p>
        </w:tc>
        <w:tc>
          <w:tcPr>
            <w:tcW w:w="22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Shentel Issuer Class A-2 Notes</w:t>
            </w: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5.64%</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489,142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489,142</w:t>
            </w:r>
          </w:p>
        </w:tc>
        <w:tc>
          <w:tcPr>
            <w:tcW w:w="0" w:type="dxa"/>
            <w:vAlign w:val="bottom"/>
          </w:tcPr>
          <w:p>
            <w:pPr>
              <w:spacing w:after="0"/>
              <w:rPr>
                <w:sz w:val="1"/>
                <w:szCs w:val="1"/>
                <w:color w:val="auto"/>
              </w:rPr>
            </w:pPr>
          </w:p>
        </w:tc>
      </w:tr>
      <w:tr>
        <w:trPr>
          <w:trHeight w:val="22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Shentel Issuer Class B Notes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78,263</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Shentel Issuer Variable Funding Note ("VFN")</w:t>
            </w:r>
          </w:p>
        </w:tc>
        <w:tc>
          <w:tcPr>
            <w:tcW w:w="2260" w:type="dxa"/>
            <w:vAlign w:val="bottom"/>
            <w:gridSpan w:val="2"/>
          </w:tcPr>
          <w:p>
            <w:pPr>
              <w:jc w:val="center"/>
              <w:ind w:right="80"/>
              <w:spacing w:after="0" w:line="230" w:lineRule="exact"/>
              <w:rPr>
                <w:sz w:val="20"/>
                <w:szCs w:val="20"/>
                <w:color w:val="auto"/>
              </w:rPr>
            </w:pPr>
            <w:r>
              <w:rPr>
                <w:rFonts w:ascii="Times New Roman" w:cs="Times New Roman" w:eastAsia="Times New Roman" w:hAnsi="Times New Roman"/>
                <w:sz w:val="18"/>
                <w:szCs w:val="18"/>
                <w:color w:val="auto"/>
                <w:w w:val="94"/>
              </w:rPr>
              <w:t>Floating</w:t>
            </w:r>
            <w:r>
              <w:rPr>
                <w:rFonts w:ascii="Times New Roman" w:cs="Times New Roman" w:eastAsia="Times New Roman" w:hAnsi="Times New Roman"/>
                <w:sz w:val="23"/>
                <w:szCs w:val="23"/>
                <w:color w:val="auto"/>
                <w:w w:val="94"/>
                <w:vertAlign w:val="superscript"/>
              </w:rPr>
              <w:t>(1)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Shentel Broadband Revolving Credit Facility ("RCF")</w:t>
            </w:r>
          </w:p>
        </w:tc>
        <w:tc>
          <w:tcPr>
            <w:tcW w:w="2260" w:type="dxa"/>
            <w:vAlign w:val="bottom"/>
            <w:gridSpan w:val="2"/>
          </w:tcPr>
          <w:p>
            <w:pPr>
              <w:jc w:val="center"/>
              <w:ind w:right="80"/>
              <w:spacing w:after="0" w:line="237" w:lineRule="exact"/>
              <w:rPr>
                <w:sz w:val="20"/>
                <w:szCs w:val="20"/>
                <w:color w:val="auto"/>
              </w:rPr>
            </w:pPr>
            <w:r>
              <w:rPr>
                <w:rFonts w:ascii="Times New Roman" w:cs="Times New Roman" w:eastAsia="Times New Roman" w:hAnsi="Times New Roman"/>
                <w:sz w:val="18"/>
                <w:szCs w:val="18"/>
                <w:color w:val="auto"/>
                <w:w w:val="94"/>
              </w:rPr>
              <w:t>Floating</w:t>
            </w:r>
            <w:r>
              <w:rPr>
                <w:rFonts w:ascii="Times New Roman" w:cs="Times New Roman" w:eastAsia="Times New Roman" w:hAnsi="Times New Roman"/>
                <w:sz w:val="23"/>
                <w:szCs w:val="23"/>
                <w:color w:val="auto"/>
                <w:w w:val="94"/>
                <w:vertAlign w:val="superscript"/>
              </w:rPr>
              <w:t>(2)</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8"/>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642,405</w:t>
            </w:r>
          </w:p>
        </w:tc>
        <w:tc>
          <w:tcPr>
            <w:tcW w:w="0" w:type="dxa"/>
            <w:vAlign w:val="bottom"/>
          </w:tcPr>
          <w:p>
            <w:pPr>
              <w:spacing w:after="0"/>
              <w:rPr>
                <w:sz w:val="1"/>
                <w:szCs w:val="1"/>
                <w:color w:val="auto"/>
              </w:rPr>
            </w:pPr>
          </w:p>
        </w:tc>
      </w:tr>
      <w:tr>
        <w:trPr>
          <w:trHeight w:val="234"/>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loan fees</w:t>
            </w: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(14,168)</w:t>
            </w:r>
          </w:p>
        </w:tc>
        <w:tc>
          <w:tcPr>
            <w:tcW w:w="0" w:type="dxa"/>
            <w:vAlign w:val="bottom"/>
          </w:tcPr>
          <w:p>
            <w:pPr>
              <w:spacing w:after="0"/>
              <w:rPr>
                <w:sz w:val="1"/>
                <w:szCs w:val="1"/>
                <w:color w:val="auto"/>
              </w:rPr>
            </w:pPr>
          </w:p>
        </w:tc>
      </w:tr>
      <w:tr>
        <w:trPr>
          <w:trHeight w:val="223"/>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unamortized loan fees</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628,237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40" w:hanging="132"/>
        <w:spacing w:after="0"/>
        <w:tabs>
          <w:tab w:leader="none" w:pos="1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VFN bears interest at one-month term SOFR plus a fixed margin. This interest rate was 5.66% at September 30, 2026.</w:t>
      </w:r>
    </w:p>
    <w:p>
      <w:pPr>
        <w:spacing w:after="0" w:line="27" w:lineRule="exact"/>
        <w:rPr>
          <w:rFonts w:ascii="Times New Roman" w:cs="Times New Roman" w:eastAsia="Times New Roman" w:hAnsi="Times New Roman"/>
          <w:sz w:val="9"/>
          <w:szCs w:val="9"/>
          <w:color w:val="auto"/>
        </w:rPr>
      </w:pPr>
    </w:p>
    <w:p>
      <w:pPr>
        <w:ind w:right="20" w:firstLine="8"/>
        <w:spacing w:after="0"/>
        <w:tabs>
          <w:tab w:leader="none" w:pos="132"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RCF bears interest at one-month term SOFR plus a margin. The margin is variable and determined by the Company’s net leverage ratio. This interest rate was 6.66% at September 30, 2026 and 6.19% at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Refinancing Activities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Shentel Broadband, an indirect wholly owned subsidiary of Shentel, previously had a credit agreement which contained (i) a $150 million revolving credit facility (the “Revolver”) and $525 million in delayed draw amortizing term loans (the “Term Loans” and collectively with Revolver, the “Previous Credit Agreement”). On December 5, 2025, Shentel, through formation of Shentel Guarantor LLC, Shentel Issuer LLC (“Shentel Issuer”), Shentel Asset Entity I LLC and Shentel Asset Entity II LLC (collectively, the “ABS Entities"”), completed a refinancing of the Previous Credit Agreement with an Asset Backed Securitization (“ABS”) financing, secured by most of our fiber businesses, which resulted in the issuance of the Class A-2 Notes, Class B notes, the VFN, and a Liquidity Funding Note (“LFN”) (collectively, the “ABS Notes”). Concurrently, Shentel Broadband entered into a new RCF and the Company used the proceeds from the issuance of the ABS Notes and RCF to repay the outstanding long-term debt obligation under the Previous Credit Agreement.</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ABS Notes include $489.1 million and $78.3 million in borrowed Class A-2 Notes and Class B Notes, respectively. In connection with the same ABS Indenture, Shentel Issuer issued the VFN which has a borrowing capacity of $175.0 million, of which Shentel has borrowed $74.5 million for the nine month period ended September 30, 2026. As of September 30, 2026, the available capacity of the VFN was $16.3 million. The available capacity of the VFN will increase based on the secured fiber network revenue growth from Shentel Asset Entity I LLC and Shentel Asset Entity II LLC (each a bankruptcy-remote subsidiary of the Company), multiplied by (i) a margin as defined in the agreements governing the VFN (the “ABS Indenture”) and (ii) 6.25x multiple.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in connection with the same ABS Indenture, Shentel Issuer issued the LFN which has an undrawn borrowing commitment of $25.0 million. Shentel Issuer may draw on the LFN solely for the purpose of funding amounts due and payable for certain Priority of Payments as defined in the ABS Indenture and when restricted cash funds required by ABS Indenture are insufficient.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RCF, as amended March 20, 2026, has a borrowing capacity of $175.0 million, of which Shentel has borrowed $118.0 million as of September 30,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long-term debt under the Previous Credit Agreements, which had floating interest rates, approximated their fair values. Similarly, the carrying amount of the Company’s VFN and RCF, each of which has a floating interest rate, approximates its fair value. The estimated fair values of Shentel’s Class A-2 Notes and Class B Notes were based on Level 2 inputs that use interest rates available to us for debt with similar terms and remaining maturities. The fair values of Shentel’s the Class A-2 Notes and Class B Notes were as follows:</w:t>
      </w:r>
    </w:p>
    <w:tbl>
      <w:tblPr>
        <w:tblLayout w:type="fixed"/>
        <w:tblInd w:w="20" w:type="dxa"/>
        <w:tblCellMar>
          <w:top w:w="0" w:type="dxa"/>
          <w:left w:w="0" w:type="dxa"/>
          <w:bottom w:w="0" w:type="dxa"/>
          <w:right w:w="0" w:type="dxa"/>
        </w:tblCellMar>
      </w:tblPr>
      <w:tr>
        <w:trPr>
          <w:trHeight w:val="189"/>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6"/>
                <w:szCs w:val="16"/>
                <w:color w:val="auto"/>
              </w:rPr>
            </w:pPr>
          </w:p>
        </w:tc>
        <w:tc>
          <w:tcPr>
            <w:tcW w:w="152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6"/>
                <w:szCs w:val="16"/>
                <w:color w:val="auto"/>
              </w:rPr>
            </w:pPr>
          </w:p>
        </w:tc>
        <w:tc>
          <w:tcPr>
            <w:tcW w:w="128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2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8"/>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Shentel Issuer Class A-2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476,278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494,278</w:t>
            </w: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Shentel Issuer Class B Notes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77,676</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Fees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Shentel is charged commitment fees on unutilized portions of its debt. The Company recorded $0.2 million and $0.7 million related to these fees for the three and nine months ended September 30, 2026, respectively, and $0.2 million and $0.6 million related to these fees for the three and nine months ended September 30, 2025, respectively, which are included in interest expense in the unaudited condensed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Shentel pays interest on a monthly basis. Interest expense recorded in Shentel’s unaudited condensed consolidated statements of operations consisted of the following: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80" w:type="dxa"/>
            <w:vAlign w:val="bottom"/>
            <w:gridSpan w:val="4"/>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27"/>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12,039</w:t>
            </w:r>
          </w:p>
        </w:tc>
        <w:tc>
          <w:tcPr>
            <w:tcW w:w="1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9,574</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34,410</w:t>
            </w:r>
          </w:p>
        </w:tc>
        <w:tc>
          <w:tcPr>
            <w:tcW w:w="12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25,569</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Less: capitalized interest</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(1,542)</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w w:val="98"/>
              </w:rPr>
              <w:t>(2,785)</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(7,885)</w:t>
            </w: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10,497</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color w:val="auto"/>
                <w:w w:val="98"/>
              </w:rPr>
              <w:t>6,789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29,628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17,684</w:t>
            </w:r>
          </w:p>
        </w:tc>
      </w:tr>
      <w:tr>
        <w:trPr>
          <w:trHeight w:val="21"/>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Dates and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Shentel Broadband’s debt includes various covenants, including total net leverage ratio and debt service coverage ratio financial covenants.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ABS Notes have a contractually stated anticipated repayment date (“ARD”) of December 2030 with the exception of the VFN described below. The legal final maturity date of each class of the ABS Notes is in December 2055. If Shentel has not repaid or refinanced any of the ABS Notes prior to the relevant ARD, the ABS Indenture requires mandatory prepayment of Note principal on each payment date on a pro-rata basis based on the alphanumerical designation of each class of Notes and additional interest (2.0% per annum on Class A-2 Notes, 2.4% per annum on Class B Notes, and 5.0% per annum on VFN) will be charged until the Notes are refinanced or fully redeemed. Amortization on Shentel Issuer’s ABS Notes could be required prior to the ARD if Shentel Issuer’s debt service coverage ratio is below certain thresholds in the ABS Indenture.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Shentel Issuer has not made any borrowings under its LFN as of September 30, 2026. Amounts borrowed under the LFN do not have an anticipated repayment date and have a final maturity date of December 2055.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Shentel Issuer’s VFN matures on December 5, 2029 which may be extended, at the option of Shentel, to December 5, 2030, subject to the satisfaction of certain conditions. No principal payments on Shentel’s VFN are required prior to the final maturity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Shentel Broadband’s RCF matures on December 5, 2030. No principal payments on Shentel Broadband’s RCF are required prior to the final maturity date.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Shentel has executed letter of credit arrangements totaling $7.2 million that reduce the available balance of the RCF. The letter of credit arrangements were executed primarily pursuant to the requirements of the National Telecommunications and Information government grant program, discussed further in Note 12, </w:t>
      </w: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 These amounts are not considered borrowed, as no cash has been disbursed to Shentel or other parties.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ABS Notes and the VFN are guaranteed by Shentel Asset Entity I LLC, Shentel Asset Entity II LLC and the Shentel Issuer’s parent, Shentel Guarantor LLC (each, a “Notes Guarantor” and together with Shentel Issuer LLC, the “ABS Entities”), and such guarantees and the ABS Notes are secured by security interests in the equity interests the ABS Issuer and substantially all of the assets of the ABS Issuer and the other ABS Entities. The ABS Entities are not in any way liable for the obligations of Shentel Broadband or its non-ABS Entities. Likewise, Shentel and its non-ABS Entities have no recourse to the loans of the ABS Entities.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RCF is fully secured by a pledge and unconditional guarantee from substantially all of Shentel Broadband’s subsidiaries, excluding the ABS Entities.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provides the lenders a security interest in substantially all of the assets of the Company, excluding assets held by the ABS Entities.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Under the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the ABS Entities are considered, as a whole, a variable interest entity (“VIE”) and are consolidated in Shentel’s consolidated financial statements because the Company is the primary beneficiary with both the power to direct the activities of the entity that most significantly impact the entity’s performance and the obligation to absorb losses or the right to receive benefits of the entity. Therefore, the assets and liabilities owned by the ABS Entities and related to Shentel’s VIE arrangements are used to service the obligations under Shentel's ABS Notes and may not be freely transferred to the Non-ABS Entities. Additionally, certain cash and cash equivalent amounts may be restricted from general use by Shentel based on covenants related to the ABS Notes.</w:t>
      </w:r>
    </w:p>
    <w:p>
      <w:pPr>
        <w:spacing w:after="0" w:line="2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assets and liabilities related to Shentel’s VIE arrangements included in the Company’s unaudited condensed consolidated balance sheets were as follows: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280" w:type="dxa"/>
            <w:vAlign w:val="bottom"/>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16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2"/>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20,945</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12,580</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819,838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793,874</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8,234</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10,199</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127,693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129,635</w:t>
            </w:r>
          </w:p>
        </w:tc>
        <w:tc>
          <w:tcPr>
            <w:tcW w:w="0" w:type="dxa"/>
            <w:vAlign w:val="bottom"/>
          </w:tcPr>
          <w:p>
            <w:pPr>
              <w:spacing w:after="0"/>
              <w:rPr>
                <w:sz w:val="1"/>
                <w:szCs w:val="1"/>
                <w:color w:val="auto"/>
              </w:rPr>
            </w:pPr>
          </w:p>
        </w:tc>
      </w:tr>
      <w:tr>
        <w:trPr>
          <w:trHeight w:val="210"/>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1,008,015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980,811</w:t>
            </w:r>
          </w:p>
        </w:tc>
        <w:tc>
          <w:tcPr>
            <w:tcW w:w="0" w:type="dxa"/>
            <w:vAlign w:val="bottom"/>
          </w:tcPr>
          <w:p>
            <w:pPr>
              <w:spacing w:after="0"/>
              <w:rPr>
                <w:sz w:val="1"/>
                <w:szCs w:val="1"/>
                <w:color w:val="auto"/>
              </w:rPr>
            </w:pPr>
          </w:p>
        </w:tc>
      </w:tr>
      <w:tr>
        <w:trPr>
          <w:trHeight w:val="26"/>
        </w:trPr>
        <w:tc>
          <w:tcPr>
            <w:tcW w:w="8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8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7,561</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Advanced billings and customer deposits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8,953</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less current maturities, net of unamortized loan fees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554,288</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28,703</w:t>
            </w:r>
          </w:p>
        </w:tc>
        <w:tc>
          <w:tcPr>
            <w:tcW w:w="0" w:type="dxa"/>
            <w:vAlign w:val="bottom"/>
          </w:tcPr>
          <w:p>
            <w:pPr>
              <w:spacing w:after="0"/>
              <w:rPr>
                <w:sz w:val="1"/>
                <w:szCs w:val="1"/>
                <w:color w:val="auto"/>
              </w:rPr>
            </w:pPr>
          </w:p>
        </w:tc>
      </w:tr>
      <w:tr>
        <w:trPr>
          <w:trHeight w:val="213"/>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691,110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608,324</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files U.S. federal income tax returns and various state income tax returns. The Company is currently involved in one state and no federal income tax audits as of September 30, 2026. The Company’s income tax returns are generally open to examination from 2022 forward. The net operating losses acquired from Horizon are open to examination from 2013 forward.</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and nine months ended September 30, 2026 and 2025, differ from the statutory U.S. federal income tax rate of 21% primarily due to the state income taxes, excess tax benefits and other discrete items.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8" w:lineRule="exact"/>
        <w:rPr>
          <w:sz w:val="20"/>
          <w:szCs w:val="20"/>
          <w:color w:val="auto"/>
        </w:rPr>
      </w:pPr>
    </w:p>
    <w:p>
      <w:pPr>
        <w:ind w:left="20" w:right="1100"/>
        <w:spacing w:after="0" w:line="276" w:lineRule="auto"/>
        <w:rPr>
          <w:sz w:val="20"/>
          <w:szCs w:val="20"/>
          <w:color w:val="auto"/>
        </w:rPr>
      </w:pPr>
      <w:r>
        <w:rPr>
          <w:rFonts w:ascii="Times New Roman" w:cs="Times New Roman" w:eastAsia="Times New Roman" w:hAnsi="Times New Roman"/>
          <w:sz w:val="18"/>
          <w:szCs w:val="18"/>
          <w:color w:val="auto"/>
        </w:rPr>
        <w:t>Expected tax benefit at federal statutory rate State income tax benefit, net of federal tax effect</w:t>
      </w:r>
    </w:p>
    <w:p>
      <w:pPr>
        <w:spacing w:after="0" w:line="1" w:lineRule="exact"/>
        <w:rPr>
          <w:sz w:val="20"/>
          <w:szCs w:val="20"/>
          <w:color w:val="auto"/>
        </w:rPr>
      </w:pPr>
    </w:p>
    <w:p>
      <w:pPr>
        <w:ind w:left="20"/>
        <w:spacing w:after="0" w:line="242" w:lineRule="auto"/>
        <w:rPr>
          <w:sz w:val="20"/>
          <w:szCs w:val="20"/>
          <w:color w:val="auto"/>
        </w:rPr>
      </w:pPr>
      <w:r>
        <w:rPr>
          <w:rFonts w:ascii="Times New Roman" w:cs="Times New Roman" w:eastAsia="Times New Roman" w:hAnsi="Times New Roman"/>
          <w:sz w:val="18"/>
          <w:szCs w:val="18"/>
          <w:color w:val="auto"/>
        </w:rPr>
        <w:t>Excess tax deficiency from share-based compensation and other expense, net</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340" w:type="dxa"/>
            <w:vAlign w:val="bottom"/>
          </w:tcPr>
          <w:p>
            <w:pPr>
              <w:spacing w:after="0"/>
              <w:rPr>
                <w:sz w:val="18"/>
                <w:szCs w:val="18"/>
                <w:color w:val="auto"/>
              </w:rPr>
            </w:pPr>
          </w:p>
        </w:tc>
        <w:tc>
          <w:tcPr>
            <w:tcW w:w="2100" w:type="dxa"/>
            <w:vAlign w:val="bottom"/>
            <w:gridSpan w:val="3"/>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8"/>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40" w:type="dxa"/>
            <w:vAlign w:val="bottom"/>
          </w:tcPr>
          <w:p>
            <w:pPr>
              <w:spacing w:after="0"/>
              <w:rPr>
                <w:sz w:val="18"/>
                <w:szCs w:val="18"/>
                <w:color w:val="auto"/>
              </w:rPr>
            </w:pP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(2,596)</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(8,889)</w:t>
            </w:r>
          </w:p>
        </w:tc>
        <w:tc>
          <w:tcPr>
            <w:tcW w:w="12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(7,289)</w:t>
            </w:r>
          </w:p>
        </w:tc>
      </w:tr>
      <w:tr>
        <w:trPr>
          <w:trHeight w:val="234"/>
        </w:trPr>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(2,256)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(1,873)</w:t>
            </w:r>
          </w:p>
        </w:tc>
      </w:tr>
      <w:tr>
        <w:trPr>
          <w:trHeight w:val="418"/>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8"/>
              </w:rPr>
              <w:t>1,448</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2,021</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(2,974)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8"/>
              </w:rPr>
              <w:t>(9,697)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rPr>
              <w:t>(7,141)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40" w:space="480"/>
            <w:col w:w="6120"/>
          </w:cols>
          <w:pgMar w:left="320" w:top="119" w:right="339" w:bottom="1440" w:gutter="0" w:footer="0" w:header="0"/>
          <w:type w:val="continuous"/>
        </w:sectPr>
      </w:pP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made $0.9 million in payments and received no refunds for income taxes during the nine months ended September 30, 2026. The Company made $2.3 million in payments and received $0.3 million in refunds for income taxes for the nine months ended September 30,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Redeemable Noncontrolling Interest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24, 2023, Shentel Broadband Holding Inc. (“Shentel Broadband”), a wholly-owned subsidiary of Shentel, entered into an investment agreement (the “Investment Agreement”) with ECP Fiber Holdings, LP, a Delaware limited partnership (“ECP Investor”), and, solely for the limited purposes set forth therein, Hill City Holdings, LP, a Delaware limited partnership affiliated with ECP Investor. Subject to the terms and conditions set forth in the Investment Agreement, on April 1, 2024, Shentel Broadband issued to ECP Investor 81,000 shares of Shentel Broadband’s 7% Series A Participating Exchangeable Perpetual Preferred Stock, par value $0.01 per share (the “Series A Preferred Stock”), at a purchase price of $1,000 per share in exchange for $81 million in cash. As of September 30, 2026, 100,000 shares of the Series A Preferred Stock were authorized for issuance and 81,000 shares of the Series A Preferred Stock were outstanding.</w:t>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Series A Preferred Stock is exchangeable at the option of the Investor in certain circumstances for shares of Common Stock at an exchange price of $24.50 per share, which may be adjusted pursuant to the terms of the Investment Agreement. As of September 30, 2026, the Series A Preferred Stock was exchangeable for 3,875,154 shares of Common Stock.</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on the Series A Preferred Stock accrue at 7% per annum compounded and payable quarterly in arrears, and, at Shentel’s option, may be paid in cash or in kind (such dividends paid in kind, “PIK Dividends”). The Company has historically elected to issue PIK Dividends which increase the liquidation preference of the Series A Preferred Stock. As of September 30, 2026, the Series A Preferred Stock had a liquidation preference of $94.9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 Compensation and Earnings (Loss) per Share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Activity related to the Company’s equity compensation, which includes the Company’s restricted stock units (“RSUs”) and performance stock units (“PSUs”), was as follows: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weighted average grant price)</w:t>
            </w: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8040" w:type="dxa"/>
            <w:vAlign w:val="bottom"/>
            <w:vMerge w:val="continue"/>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5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awards, December 31, 2025</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18"/>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3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awards, September 30, 2026</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RSUs and PSUs vested was $6.8 million during the nine months ended September 30,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the Company’s Relative Total Shareholder Return RSUs (“RTSRs”)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 average grant price)</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5140" w:type="dxa"/>
            <w:vAlign w:val="bottom"/>
            <w:vMerge w:val="continue"/>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gridSpan w:val="5"/>
            <w:vMerge w:val="continue"/>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5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awards, December 31, 2025</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top w:val="single" w:sz="8" w:color="auto"/>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15.77</w:t>
            </w:r>
          </w:p>
        </w:tc>
        <w:tc>
          <w:tcPr>
            <w:tcW w:w="0" w:type="dxa"/>
            <w:vAlign w:val="bottom"/>
          </w:tcPr>
          <w:p>
            <w:pPr>
              <w:spacing w:after="0"/>
              <w:rPr>
                <w:sz w:val="1"/>
                <w:szCs w:val="1"/>
                <w:color w:val="auto"/>
              </w:rPr>
            </w:pPr>
          </w:p>
        </w:tc>
      </w:tr>
      <w:tr>
        <w:trPr>
          <w:trHeight w:val="218"/>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13.42</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12.68</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awards, September 30, 2026</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15.27</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 expense was as follows:</w:t>
            </w: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1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140" w:type="dxa"/>
            <w:vAlign w:val="bottom"/>
          </w:tcPr>
          <w:p>
            <w:pPr>
              <w:spacing w:after="0"/>
              <w:rPr>
                <w:sz w:val="24"/>
                <w:szCs w:val="24"/>
                <w:color w:val="auto"/>
              </w:rPr>
            </w:pPr>
          </w:p>
        </w:tc>
        <w:tc>
          <w:tcPr>
            <w:tcW w:w="2460" w:type="dxa"/>
            <w:vAlign w:val="bottom"/>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00" w:type="dxa"/>
            <w:vAlign w:val="bottom"/>
            <w:tcBorders>
              <w:top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9,083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8,650</w:t>
            </w:r>
          </w:p>
        </w:tc>
        <w:tc>
          <w:tcPr>
            <w:tcW w:w="0" w:type="dxa"/>
            <w:vAlign w:val="bottom"/>
          </w:tcPr>
          <w:p>
            <w:pPr>
              <w:spacing w:after="0"/>
              <w:rPr>
                <w:sz w:val="1"/>
                <w:szCs w:val="1"/>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 compensation</w:t>
            </w: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3"/>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 expense, net</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8,427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7,970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$7.8 million of total unrecognized compensation cost related to non-vested RSUs, PSUs, and RTSRs which is expected to be recognized over weighted average period of 2.4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computation of basic and diluted earnings (loss) per share:</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8"/>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5"/>
        </w:trPr>
        <w:tc>
          <w:tcPr>
            <w:tcW w:w="51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Calculation of net loss per share: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4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(32,630)</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(27,570)</w:t>
            </w:r>
          </w:p>
        </w:tc>
      </w:tr>
      <w:tr>
        <w:trPr>
          <w:trHeight w:val="475"/>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Amounts attributable to common shareholders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4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(37,445)</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(32,062)</w:t>
            </w:r>
          </w:p>
        </w:tc>
      </w:tr>
      <w:tr>
        <w:trPr>
          <w:trHeight w:val="479"/>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55,814</w:t>
            </w:r>
          </w:p>
        </w:tc>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55,150</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55,715</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55,083</w:t>
            </w:r>
          </w:p>
        </w:tc>
      </w:tr>
      <w:tr>
        <w:trPr>
          <w:trHeight w:val="475"/>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Per share amounts attributable to common shareholders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1"/>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two-class method when computing net loss per share attributable to common shareholders as the Company has issued preferred stock that meets the definition of a participating security. The Company considers Series A Preferred Stock to be a participating security as the holders are entitled to receive cumulative dividends.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the dilutive impact of the Series A Preferred Stock (on an as-converted basis) and the equity awards by applying the if-converted method and the treasury stock method, respectively. The following table presents potentially dilutive instruments: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31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120" w:type="dxa"/>
            <w:vAlign w:val="bottom"/>
          </w:tcPr>
          <w:p>
            <w:pPr>
              <w:spacing w:after="0"/>
              <w:rPr>
                <w:sz w:val="20"/>
                <w:szCs w:val="20"/>
                <w:color w:val="auto"/>
              </w:rPr>
            </w:pPr>
          </w:p>
        </w:tc>
        <w:tc>
          <w:tcPr>
            <w:tcW w:w="206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20"/>
                <w:szCs w:val="20"/>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19"/>
                <w:szCs w:val="19"/>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Potentially dilutive shares related to the Series A Preferred Stock</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Potentially dilutive equity awards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3"/>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potentially dilutive instruments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w:t>
            </w:r>
          </w:p>
        </w:tc>
      </w:tr>
      <w:tr>
        <w:trPr>
          <w:trHeight w:val="20"/>
        </w:trPr>
        <w:tc>
          <w:tcPr>
            <w:tcW w:w="5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Potentially dilutive instruments were excluded from the calculation of diluted weighted average shares outstanding due to the fact that they were anti-dilutive as a result of the Company’s income loss for the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Government Grants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was awarded $152.3 million in grants to build broadband services to unserved residencies in Virginia, Maryland, West Virginia and Ohio and upgrade the middle mile network in Ohio. The Company has substantially completed its grant obligations in Virginia as of September 2026 and expects to substantially complete the remaining obligations by year-end 2026.</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purpose of the grant programs described above was to subsidize the expansion of the Company’s broadband network; therefore, most amounts recognized under these programs have been recorded as a reduction to the related property, plant and equipment, and cash receipts are presented as cash flows from investing activities in the Company’s unaudited condensed consolidated statements of cash flows. One government grant allows reimbursements for direct capital expenditures and indirect operating expenses. The portion of government grant reimbursements related to indirect expenses are recorded as reductions of the related cost of service expense or selling, general and administrative expense in the Company’s unaudited condensed consolidated statements of operations and are presented as cash flows from operating activities in the Company’s unaudited condensed consolidated statements of cash flows.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recognizes grant receivables at the time it becomes probable that the Company will be eligible to receive the grant, which is estimated to correspond with the date when specified build-out milestones are achieved. As a result of these programs, and inclusive of reimbursement for indirect expenses, the Company received $23.8 million and $39.9 million in cash receipts during the nine months ended September 30, 2026 and 2025, respectively, and had approximately $1.3 million and $10.5 million in accounts receivable as of September 30, 2026 and December 31, 2025,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We are committed to make payments to satisfy our lease liabilities. The scheduled payments under those obligations are summarized in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also have outstanding unconditional purchase commitments to procure marketing services and IT software licenses through 2031.</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believe that the final outcome of any matters that we are currently involved in are reasonably likely to have a material adverse effect on our business, financial condition, results of operations or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operates as one segment. The accounting policies of the Company’s segment are the same as those described in the summary of significant accounting policies as described in </w:t>
      </w:r>
      <w:r>
        <w:rPr>
          <w:rFonts w:ascii="Times New Roman" w:cs="Times New Roman" w:eastAsia="Times New Roman" w:hAnsi="Times New Roman"/>
          <w:sz w:val="18"/>
          <w:szCs w:val="18"/>
          <w:color w:val="212529"/>
        </w:rPr>
        <w:t>our Annual Report on Form 10-K for the</w:t>
      </w:r>
      <w:r>
        <w:rPr>
          <w:rFonts w:ascii="Times New Roman" w:cs="Times New Roman" w:eastAsia="Times New Roman" w:hAnsi="Times New Roman"/>
          <w:sz w:val="18"/>
          <w:szCs w:val="18"/>
          <w:color w:val="auto"/>
        </w:rPr>
        <w:t xml:space="preserve"> year ended December 31,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assesses company performance at a consolidated level and decides how to allocate resources based on Earnings before Interest, Taxes, Depreciation and Amortization, as adjusted for certain non-recurring items, (“Adjusted EBITDA”) from operations of the Broadband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uses (loss) income from operations and Adjusted EBITDA to evaluate income generated from segment assets (return on assets) in deciding whether to reinvest profits into the operations of the Company or for other purposes, such as for acquisitions or to pay dividends.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used to monitor budget versus actual results. The CODM also uses Adjusted EBITDA to analyze the Company’s growth by monitoring current results versus prior year results. The analyses are used in assessing performance of the Company and in establishing management’s compensation.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The Company defines Adjusted EBITDA as income or loss from operations calculated in accordance with GAAP, adjusted for the impact of depreciation and amortization, impairment expense, other income (expense) net, interest income, interest expense, income tax expense (benefit), stock compensation expense, transaction costs related to acquisition and disposition events (including professional advisory fees, integration costs, and related compensatory matters), restructuring expense, tax on equity award vesting and exercise events, and other non-comparable items. The Company believes that the exclusion of the expense and income items eliminated in calculating Adjusted EBITDA provides management and investors a useful measure for period-to-period comparisons of the Company’s core operating results by excluding items that are not comparable across reporting periods or that do not otherwise relate to the Company’s ongoing operations. Accordingly, the Company believes that Adjusted EBITDA provides useful information to investors and others in understanding and evaluating the Company’s operating results.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revenue, loss from operations, Adjusted EBITDA and significant expenses: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7"/>
                <w:szCs w:val="17"/>
                <w:color w:val="auto"/>
              </w:rPr>
            </w:pPr>
          </w:p>
        </w:tc>
        <w:tc>
          <w:tcPr>
            <w:tcW w:w="22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2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6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8"/>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 and other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93,934</w:t>
            </w:r>
          </w:p>
        </w:tc>
        <w:tc>
          <w:tcPr>
            <w:tcW w:w="1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89,796</w:t>
            </w:r>
          </w:p>
        </w:tc>
        <w:tc>
          <w:tcPr>
            <w:tcW w:w="1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279,549</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266,262</w:t>
            </w:r>
          </w:p>
        </w:tc>
      </w:tr>
      <w:tr>
        <w:trPr>
          <w:trHeight w:val="2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Significant expenses and other items: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 exclusive of 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98,038</w:t>
            </w:r>
          </w:p>
        </w:tc>
      </w:tr>
      <w:tr>
        <w:trPr>
          <w:trHeight w:val="234"/>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exclusive of stock-based compensation</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27,827</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82,556</w:t>
            </w:r>
          </w:p>
        </w:tc>
      </w:tr>
      <w:tr>
        <w:trPr>
          <w:trHeight w:val="223"/>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29,687</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96,968</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85,668</w:t>
            </w:r>
          </w:p>
        </w:tc>
      </w:tr>
      <w:tr>
        <w:trPr>
          <w:trHeight w:val="218"/>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 net of amount capitalized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w:t>
            </w:r>
          </w:p>
        </w:tc>
      </w:tr>
      <w:tr>
        <w:trPr>
          <w:trHeight w:val="230"/>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integration and acquisition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99,053</w:t>
            </w:r>
          </w:p>
        </w:tc>
      </w:tr>
      <w:tr>
        <w:trPr>
          <w:trHeight w:val="22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17,684</w:t>
            </w:r>
          </w:p>
        </w:tc>
      </w:tr>
      <w:tr>
        <w:trPr>
          <w:trHeight w:val="233"/>
        </w:trPr>
        <w:tc>
          <w:tcPr>
            <w:tcW w:w="600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r>
      <w:tr>
        <w:trPr>
          <w:trHeight w:val="234"/>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(27,570)</w:t>
            </w:r>
          </w:p>
        </w:tc>
      </w:tr>
      <w:tr>
        <w:trPr>
          <w:trHeight w:val="20"/>
        </w:trPr>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00" w:hanging="92"/>
        <w:spacing w:after="0"/>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primarily includes patronage income, interest income, and benefit plan gains.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 2026, and pursuant to the securitization agreement governing the ABS Notes, the Company contributed approximately $238.6 million of gross additional fiber network assets and added approximately 116,500 homes passed and over 18,000 customers to the ABS Entities. The consolidated Trust collateral pool increased to approximately 431,200 homes passed and 102,200 data customers. The cash flow from these contributed assets will be used to service the obligations under Shentel's ABS Notes and the Company anticipates that the contribution of these assets will create additional available capacity on the VFN.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following management’s discussion and analysis includes “forward-looking statements” within the meaning of Section 27A of the Securities Act of 1933 and Section 21E of the Securities Exchange Act of 1934 (the “Exchange Act”). When used in this report, the words “anticipate,” “believe,” “estimate,” “expect,” “intend,” “may,” “will,” “should,” “could” or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but not limited to, those discussed under the caption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its fiscal year ended December 31, 2025 (“2025 Form 10-K”). The forward-looking statements included in this Form 10-Q are made only as of the date of the statement. We undertake no obligation to revise or update such statements to reflect current events or circumstances after the date hereof, or to reflect the occurrence of unanticipated events, except as required by law.</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should be read in conjunction with the Company’s 2025 Form 10-K, including the consolidated financial statements and related notes included therein.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Shenandoah Telecommunications Company (“Shentel”, “we”, “our”, “us”, or the “Company”) is a provider of a comprehensive range of broadband communication services in eight contiguous states in the eastern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Additions to ABS Trust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 2026, and pursuant to the securitization agreement governing the ABS Notes, the Company contributed approximately $238.6 million of gross additional fiber network assets and added approximately 116,500 homes passed and over 18,000 customers to the ABS Entities. The consolidated Trust collateral pool increased to approximately 431,200 homes passed and 102,200 data customers. The cash flow from these contributed assets will be used to service the obligations under Shentel's ABS Notes and the Company anticipates that the contribution of these assets will create additional available capacity on the VFN.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with the Three Months Ended September 30, 2025</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unaudited condensed consolidated results from operations are summarized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5"/>
                <w:szCs w:val="15"/>
                <w:color w:val="auto"/>
              </w:rPr>
            </w:pPr>
          </w:p>
        </w:tc>
        <w:tc>
          <w:tcPr>
            <w:tcW w:w="8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20" w:type="dxa"/>
            <w:vAlign w:val="bottom"/>
          </w:tcPr>
          <w:p>
            <w:pPr>
              <w:spacing w:after="0"/>
              <w:rPr>
                <w:sz w:val="15"/>
                <w:szCs w:val="15"/>
                <w:color w:val="auto"/>
              </w:rPr>
            </w:pPr>
          </w:p>
        </w:tc>
        <w:tc>
          <w:tcPr>
            <w:tcW w:w="10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42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Broadband operating revenue</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&amp; SMB - Incumbent Broadband Markets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39,103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41,935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&amp; SMB - Glo Fiber Expansion Markets</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28,166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21,305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2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Fiber</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21,126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19,957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4"/>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RLEC &amp; Other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5,539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6,599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93,934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89,796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05"/>
        </w:trPr>
        <w:tc>
          <w:tcPr>
            <w:tcW w:w="4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Cost of services, exclusive of depreciation and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32,919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32,384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29,153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29,791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integration and acquisition</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33,687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34,492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95,911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96,960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(7,164)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05"/>
        </w:trPr>
        <w:tc>
          <w:tcPr>
            <w:tcW w:w="4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(6,789)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0" w:type="dxa"/>
            <w:vAlign w:val="bottom"/>
          </w:tcPr>
          <w:p>
            <w:pPr>
              <w:spacing w:after="0"/>
              <w:rPr>
                <w:sz w:val="1"/>
                <w:szCs w:val="1"/>
                <w:color w:val="auto"/>
              </w:rPr>
            </w:pPr>
          </w:p>
        </w:tc>
      </w:tr>
      <w:tr>
        <w:trPr>
          <w:trHeight w:val="23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1,589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8"/>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(12,364)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(2,974)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8"/>
        </w:trPr>
        <w:tc>
          <w:tcPr>
            <w:tcW w:w="4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(9,390)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4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Dividends on redeemable noncontrolling interest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1,523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23"/>
        </w:trPr>
        <w:tc>
          <w:tcPr>
            <w:tcW w:w="4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(10,913)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Incumbent Broadband Markets revenue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 from residential and small and medium business (“SMB”) customers in Incumbent Broadband Markets is primarily earned through the Company’s provision of data, video and voice services over primarily HFC cable and to a lesser extent FTTH networks in incumbent markets.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Residential &amp; SMB - Incumbent Broadband Markets revenue decreased by $2.8 million, or 6.8%. The decrease was primarily due to lower video and data revenue. Video revenue declined due to a 13.0% decrease in video RGUs as customers switched to streaming video services. Data revenue declined primarily due to a 3.0% decline in data ARPU, driven in part by our rate card in markets where we face a fixed broadband competitor and in part due to our recently implemented rate card in lower demographic markets experiencing softer demand.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Glo Fiber Expansion Markets revenue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Revenue from residential and SMB customers in Glo Fiber Expansion Markets is primarily earned through the Company’s provision of data, video and voice services over FTTH networks in new greenfield expansion markets.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&amp; SMB - Glo Fiber Expansion Markets revenue increased by $6.9 million, or 32.2%. The increase was primarily due to a 31.8% increase in data RGUs driven by the Company’s increase in penetration rates and increase in passings.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Shentel’s Commercial Fiber revenue is primarily earned through the Company’s provision of high-speed Ethernet, dedicated internet access, wavelength services, dark fiber leasing and managed services over fiber optic networks to commercial customers.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Fiber revenue increased by $1.2 million, or 5.9%. The increase was due to increases in recurring revenue from additional circuit services sold to both new and existing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RLEC &amp; Other revenue</w:t>
      </w:r>
    </w:p>
    <w:p>
      <w:pPr>
        <w:spacing w:after="0" w:line="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Shentel’s RLEC &amp; Other revenue is primarily earned through the Company’s provision of voice and DSL telephone services over copper networks, primarily in Shenandoah County, Virginia and Ross County, Ohio. Shentel also earns governmental support revenue through the federal Universal Service Fund (“USF”).</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RLEC &amp; Other revenue decreased by $1.1 million, or 16.1%. The decrease was primarily due to a 35.5% decrease in DSL RGUs and, to a lesser extent, a decrease in government support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 exclusive of depreciation and amortization</w:t>
      </w:r>
    </w:p>
    <w:p>
      <w:pPr>
        <w:spacing w:after="0" w:line="3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Cost of services primarily consist of costs to acquire and deliver video programming, internal labor to maintain our network and service our customers, third party network maintenance, and line expenses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services increased by $0.5 million, or 1.7%. The increase was partially due to increased building &amp; fleet maintenance and fuel expenses as well as increased pole attachment rent expense from expansion of the Glo Fiber network and regulatory fees with the growth in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consist of employee compensation, advertising, software maintenance, stock-based compensation, and operating taxes.</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decreased by $0.6 million, or 2.1%. The decrease was partially due to lower advertising and stock compensation expense, offset in part by higher operating and property taxes, software maintenance expenses, and payroll related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integration and acquisition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Restructuring, integration and acquisition expense decreased by $0.1 million, or 48.1%, primarily due to transaction fees incurred in the prior year that did not recur in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Depreciation and amortization decreased by $0.8 million, or 2.3%. The decrease was primarily due to a $3.2 million decline in write-offs, partially offset by new depreciation associated with assets placed in service as part of the continued expansion of the Glo Fiber network.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Interest expense increased by $3.7 million, or 54.6%. The increase was primarily due to an increase in the Company’s outstanding debt as well as less capitalized interest due to less plant under construction than in prior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Other income, net decreased by $1.3 million, or 84.5%. The decrease was primarily due to a reclassification of gains on interest rate swap from accumulated other comprehensive income in the prior year that did not recur in 2026, as well as lower patronage income.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increased by $0.1 million, or 2.5%. The increase was primarily due to changes in the annual effective tax rate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with the Nine Months Ended September 30, 2025</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unaudited condensed consolidated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4"/>
                <w:szCs w:val="14"/>
                <w:color w:val="auto"/>
              </w:rPr>
            </w:pPr>
          </w:p>
        </w:tc>
        <w:tc>
          <w:tcPr>
            <w:tcW w:w="8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20" w:type="dxa"/>
            <w:vAlign w:val="bottom"/>
          </w:tcPr>
          <w:p>
            <w:pPr>
              <w:spacing w:after="0"/>
              <w:rPr>
                <w:sz w:val="14"/>
                <w:szCs w:val="14"/>
                <w:color w:val="auto"/>
              </w:rPr>
            </w:pPr>
          </w:p>
        </w:tc>
        <w:tc>
          <w:tcPr>
            <w:tcW w:w="10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Broadband operating revenue</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&amp; SMB - Incumbent Broadband Markets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120,528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128,131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&amp; SMB - Glo Fiber Expansion Markets</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79,283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59,545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0" w:type="dxa"/>
            <w:vAlign w:val="bottom"/>
          </w:tcPr>
          <w:p>
            <w:pPr>
              <w:spacing w:after="0"/>
              <w:rPr>
                <w:sz w:val="1"/>
                <w:szCs w:val="1"/>
                <w:color w:val="auto"/>
              </w:rPr>
            </w:pPr>
          </w:p>
        </w:tc>
      </w:tr>
      <w:tr>
        <w:trPr>
          <w:trHeight w:val="22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Fiber</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63,054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59,052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34"/>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RLEC &amp; Other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16,684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19,534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279,549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266,262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5"/>
        </w:trPr>
        <w:tc>
          <w:tcPr>
            <w:tcW w:w="4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Cost of services, exclusive of depreciation and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97,446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98,038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93,562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90,526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integration and acquisition</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170.2 %</w:t>
            </w:r>
          </w:p>
        </w:tc>
        <w:tc>
          <w:tcPr>
            <w:tcW w:w="0" w:type="dxa"/>
            <w:vAlign w:val="bottom"/>
          </w:tcPr>
          <w:p>
            <w:pPr>
              <w:spacing w:after="0"/>
              <w:rPr>
                <w:sz w:val="1"/>
                <w:szCs w:val="1"/>
                <w:color w:val="auto"/>
              </w:rPr>
            </w:pPr>
          </w:p>
        </w:tc>
      </w:tr>
      <w:tr>
        <w:trPr>
          <w:trHeight w:val="23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99,277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99,053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293,011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288,626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(22,364)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5"/>
        </w:trPr>
        <w:tc>
          <w:tcPr>
            <w:tcW w:w="4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(17,684)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0" w:type="dxa"/>
            <w:vAlign w:val="bottom"/>
          </w:tcPr>
          <w:p>
            <w:pPr>
              <w:spacing w:after="0"/>
              <w:rPr>
                <w:sz w:val="1"/>
                <w:szCs w:val="1"/>
                <w:color w:val="auto"/>
              </w:rPr>
            </w:pPr>
          </w:p>
        </w:tc>
      </w:tr>
      <w:tr>
        <w:trPr>
          <w:trHeight w:val="23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5,337</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8"/>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(34,711)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34"/>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(7,141)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0" w:type="dxa"/>
            <w:vAlign w:val="bottom"/>
          </w:tcPr>
          <w:p>
            <w:pPr>
              <w:spacing w:after="0"/>
              <w:rPr>
                <w:sz w:val="1"/>
                <w:szCs w:val="1"/>
                <w:color w:val="auto"/>
              </w:rPr>
            </w:pPr>
          </w:p>
        </w:tc>
      </w:tr>
      <w:tr>
        <w:trPr>
          <w:trHeight w:val="218"/>
        </w:trPr>
        <w:tc>
          <w:tcPr>
            <w:tcW w:w="4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(27,570)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4"/>
        </w:trPr>
        <w:tc>
          <w:tcPr>
            <w:tcW w:w="4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Dividends on redeemable noncontrolling interest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4,492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4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(32,062)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Incumbent Broadband Markets revenue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Residential &amp; SMB - Incumbent Broadband Markets revenue decreased by $7.6 million, or 5.9%. The decrease was primarily due to lower video and data revenue. Video revenue declined due to a 13.9% decrease in video RGUs as customers switched to streaming video services. Data revenue declined primarily due to a 2.4% decline in data ARPU, driven in part by our rate card in markets where we face a fixed broadband competitor and in part due to our recently implemented rate card in lower demographic markets experiencing softer demand.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Glo Fiber Expansion Markets revenue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Residential &amp; SMB - Glo Fiber Expansion Markets revenue increased by $19.7 million, or 33.1%. The increase was primarily due to a 32.5% increase in data RGUs driven by the Company’s increase in penetration rates and increase in passings.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Commercial Fiber revenue increased by $4.0 million, or 6.8%. The increase was due to increases in recurring revenue from additional circuit services sold to both new and existing customers.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RLEC &amp; Other revenue</w:t>
      </w:r>
    </w:p>
    <w:p>
      <w:pPr>
        <w:spacing w:after="0" w:line="2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RLEC &amp; Other revenue decreased by $2.9 million, or 14.6%. The decrease was primarily due to a 31.4% decrease in DSL RGUs and a decrease in government support revenue.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 exclusive of depreciation and amortization</w:t>
      </w:r>
    </w:p>
    <w:p>
      <w:pPr>
        <w:spacing w:after="0" w:line="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Cost of services decreased by $0.6 million, or 0.6%. The decrease was due to indirect cost reimbursements on government grant projects and decreases in network and field maintenance and payroll related expenses, offset by increased building &amp; fleet maintenance and fuel expenses as well as increased pole attachment rent expense.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Selling, general and administrative expense increased by $3.0 million, or 3.4%. The increase was due to increases in stock compensation, operating and property taxes, software maintenance expenses, and payroll related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integration and acquisition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Restructuring, integration and acquisition expense increased by $1.7 million, or 170.2%, primarily related to severance costs incurred associated with the previously announced reduction in force in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Depreciation and amortization increased by $0.2 million, or 0.2%. The increase is largely due to depreciation associated with new assets placed in service as part of the Company’s expansion of the Glo Fiber network, offset by lower inventory asset write-offs in 2026 as compared to the prior year as well as fewer project cost write-offs for markets under construction but cancelled due to higher costs to build.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Interest expense increased by $11.9 million, or 67.5%. The increase was primarily due to an increase in the Company’s outstanding debt and debt issuance costs, and less capitalized interest due to less plant under construction than in the prior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Other income, net decreased by $4.6 million, or 85.7%. The decrease was primarily due to a favorable settlement of the Horizon acquisition related escrow claim and reclassification of gains on interest rate swap from accumulated other comprehensive income in the prior year that did not recur in 2026 as well as lower patronage income in the current year.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increased by $2.6 million, or 35.8%. The increase was due to higher pre-tax loss than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Shentel provides broadband internet, video and voice services to residential and commercial customers in portions of Virginia, West Virginia, Maryland, Pennsylvania, Kentucky, Delaware, Ohio and Indiana, via fiber optic and hybrid fiber coaxial cable networks. We also lease dark fiber and provide Ethernet, Dedicated Internet Access and Wavelength fiber optic services to enterprise and wholesale customers throughout the entirety of our service area.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over 20,000 route miles of fiber.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w:t>
      </w:r>
    </w:p>
    <w:p>
      <w:pPr>
        <w:spacing w:after="0" w:line="50"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8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6"/>
        </w:trPr>
        <w:tc>
          <w:tcPr>
            <w:tcW w:w="780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Homes and businesses passed (1)</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Incumbent Broadband Markets</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254,019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248,002</w:t>
            </w:r>
          </w:p>
        </w:tc>
        <w:tc>
          <w:tcPr>
            <w:tcW w:w="0" w:type="dxa"/>
            <w:vAlign w:val="bottom"/>
          </w:tcPr>
          <w:p>
            <w:pPr>
              <w:spacing w:after="0"/>
              <w:rPr>
                <w:sz w:val="1"/>
                <w:szCs w:val="1"/>
                <w:color w:val="auto"/>
              </w:rPr>
            </w:pPr>
          </w:p>
        </w:tc>
      </w:tr>
      <w:tr>
        <w:trPr>
          <w:trHeight w:val="236"/>
        </w:trPr>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Glo Fiber Expansion Markets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500,584</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400,323</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homes and businesses passed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754,603</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648,325</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Residential &amp; SMB RGUs:</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7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Incumbent Broadband Markets</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110,032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111,900</w:t>
            </w:r>
          </w:p>
        </w:tc>
        <w:tc>
          <w:tcPr>
            <w:tcW w:w="0" w:type="dxa"/>
            <w:vAlign w:val="bottom"/>
          </w:tcPr>
          <w:p>
            <w:pPr>
              <w:spacing w:after="0"/>
              <w:rPr>
                <w:sz w:val="1"/>
                <w:szCs w:val="1"/>
                <w:color w:val="auto"/>
              </w:rPr>
            </w:pPr>
          </w:p>
        </w:tc>
      </w:tr>
      <w:tr>
        <w:trPr>
          <w:trHeight w:val="236"/>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Glo Fiber Expansion Markets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108,787</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82,662</w:t>
            </w:r>
          </w:p>
        </w:tc>
        <w:tc>
          <w:tcPr>
            <w:tcW w:w="0" w:type="dxa"/>
            <w:vAlign w:val="bottom"/>
          </w:tcPr>
          <w:p>
            <w:pPr>
              <w:spacing w:after="0"/>
              <w:rPr>
                <w:sz w:val="1"/>
                <w:szCs w:val="1"/>
                <w:color w:val="auto"/>
              </w:rPr>
            </w:pPr>
          </w:p>
        </w:tc>
      </w:tr>
      <w:tr>
        <w:trPr>
          <w:trHeight w:val="218"/>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Broadband Data</w:t>
            </w:r>
          </w:p>
        </w:tc>
        <w:tc>
          <w:tcPr>
            <w:tcW w:w="38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218,819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194,562</w:t>
            </w:r>
          </w:p>
        </w:tc>
        <w:tc>
          <w:tcPr>
            <w:tcW w:w="0" w:type="dxa"/>
            <w:vAlign w:val="bottom"/>
          </w:tcPr>
          <w:p>
            <w:pPr>
              <w:spacing w:after="0"/>
              <w:rPr>
                <w:sz w:val="1"/>
                <w:szCs w:val="1"/>
                <w:color w:val="auto"/>
              </w:rPr>
            </w:pPr>
          </w:p>
        </w:tc>
      </w:tr>
      <w:tr>
        <w:trPr>
          <w:trHeight w:val="230"/>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Video</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34,325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36,601</w:t>
            </w:r>
          </w:p>
        </w:tc>
        <w:tc>
          <w:tcPr>
            <w:tcW w:w="0" w:type="dxa"/>
            <w:vAlign w:val="bottom"/>
          </w:tcPr>
          <w:p>
            <w:pPr>
              <w:spacing w:after="0"/>
              <w:rPr>
                <w:sz w:val="1"/>
                <w:szCs w:val="1"/>
                <w:color w:val="auto"/>
              </w:rPr>
            </w:pPr>
          </w:p>
        </w:tc>
      </w:tr>
      <w:tr>
        <w:trPr>
          <w:trHeight w:val="234"/>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Voice</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27,350</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26,477</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Residential &amp; SMB RGUs (excludes RLEC)</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280,494</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257,640</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Residential &amp; SMB Penetration (2)</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7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Incumbent Broadband Markets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43.3 %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45.1 %</w:t>
            </w:r>
          </w:p>
        </w:tc>
        <w:tc>
          <w:tcPr>
            <w:tcW w:w="0" w:type="dxa"/>
            <w:vAlign w:val="bottom"/>
          </w:tcPr>
          <w:p>
            <w:pPr>
              <w:spacing w:after="0"/>
              <w:rPr>
                <w:sz w:val="1"/>
                <w:szCs w:val="1"/>
                <w:color w:val="auto"/>
              </w:rPr>
            </w:pPr>
          </w:p>
        </w:tc>
      </w:tr>
      <w:tr>
        <w:trPr>
          <w:trHeight w:val="232"/>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Glo Fiber Expansion Markets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21.7 %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20.6 %</w:t>
            </w:r>
          </w:p>
        </w:tc>
        <w:tc>
          <w:tcPr>
            <w:tcW w:w="0" w:type="dxa"/>
            <w:vAlign w:val="bottom"/>
          </w:tcPr>
          <w:p>
            <w:pPr>
              <w:spacing w:after="0"/>
              <w:rPr>
                <w:sz w:val="1"/>
                <w:szCs w:val="1"/>
                <w:color w:val="auto"/>
              </w:rPr>
            </w:pPr>
          </w:p>
        </w:tc>
      </w:tr>
      <w:tr>
        <w:trPr>
          <w:trHeight w:val="229"/>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Broadband Data</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30"/>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Video</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4"/>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Voice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331"/>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Residential &amp; SMB ARPU (3)</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Incumbent Broadband Markets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79.84</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82.34</w:t>
            </w:r>
          </w:p>
        </w:tc>
        <w:tc>
          <w:tcPr>
            <w:tcW w:w="0" w:type="dxa"/>
            <w:vAlign w:val="bottom"/>
          </w:tcPr>
          <w:p>
            <w:pPr>
              <w:spacing w:after="0"/>
              <w:rPr>
                <w:sz w:val="1"/>
                <w:szCs w:val="1"/>
                <w:color w:val="auto"/>
              </w:rPr>
            </w:pPr>
          </w:p>
        </w:tc>
      </w:tr>
      <w:tr>
        <w:trPr>
          <w:trHeight w:val="231"/>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Glo Fiber Expansion Markets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75.96</w:t>
            </w:r>
          </w:p>
        </w:tc>
        <w:tc>
          <w:tcPr>
            <w:tcW w:w="1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76.81</w:t>
            </w:r>
          </w:p>
        </w:tc>
        <w:tc>
          <w:tcPr>
            <w:tcW w:w="0" w:type="dxa"/>
            <w:vAlign w:val="bottom"/>
          </w:tcPr>
          <w:p>
            <w:pPr>
              <w:spacing w:after="0"/>
              <w:rPr>
                <w:sz w:val="1"/>
                <w:szCs w:val="1"/>
                <w:color w:val="auto"/>
              </w:rPr>
            </w:pPr>
          </w:p>
        </w:tc>
      </w:tr>
      <w:tr>
        <w:trPr>
          <w:trHeight w:val="230"/>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Broadband Data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77.95</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80.03</w:t>
            </w:r>
          </w:p>
        </w:tc>
        <w:tc>
          <w:tcPr>
            <w:tcW w:w="0" w:type="dxa"/>
            <w:vAlign w:val="bottom"/>
          </w:tcPr>
          <w:p>
            <w:pPr>
              <w:spacing w:after="0"/>
              <w:rPr>
                <w:sz w:val="1"/>
                <w:szCs w:val="1"/>
                <w:color w:val="auto"/>
              </w:rPr>
            </w:pPr>
          </w:p>
        </w:tc>
      </w:tr>
      <w:tr>
        <w:trPr>
          <w:trHeight w:val="230"/>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Video</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128.85</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125.38</w:t>
            </w:r>
          </w:p>
        </w:tc>
        <w:tc>
          <w:tcPr>
            <w:tcW w:w="0" w:type="dxa"/>
            <w:vAlign w:val="bottom"/>
          </w:tcPr>
          <w:p>
            <w:pPr>
              <w:spacing w:after="0"/>
              <w:rPr>
                <w:sz w:val="1"/>
                <w:szCs w:val="1"/>
                <w:color w:val="auto"/>
              </w:rPr>
            </w:pPr>
          </w:p>
        </w:tc>
      </w:tr>
      <w:tr>
        <w:trPr>
          <w:trHeight w:val="234"/>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Voice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31.87</w:t>
            </w:r>
          </w:p>
        </w:tc>
        <w:tc>
          <w:tcPr>
            <w:tcW w:w="1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33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Fiber route miles</w:t>
            </w:r>
          </w:p>
        </w:tc>
        <w:tc>
          <w:tcPr>
            <w:tcW w:w="38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20,085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18,077</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fiber miles (4)</w:t>
            </w:r>
          </w:p>
        </w:tc>
        <w:tc>
          <w:tcPr>
            <w:tcW w:w="38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2,133,729</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1,957,272</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60" w:right="20" w:hanging="328"/>
        <w:spacing w:after="0" w:line="259" w:lineRule="auto"/>
        <w:tabs>
          <w:tab w:leader="none" w:pos="6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ind w:left="640" w:hanging="30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users by the number of passings or available homes, as appropriate.</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ARPU calculation = (Residential &amp; SMB Revenue) / average RGUs / 3 months.</w:t>
      </w:r>
    </w:p>
    <w:p>
      <w:pPr>
        <w:spacing w:after="0" w:line="14" w:lineRule="exact"/>
        <w:rPr>
          <w:rFonts w:ascii="Times New Roman" w:cs="Times New Roman" w:eastAsia="Times New Roman" w:hAnsi="Times New Roman"/>
          <w:sz w:val="14"/>
          <w:szCs w:val="14"/>
          <w:color w:val="auto"/>
        </w:rPr>
      </w:pPr>
    </w:p>
    <w:p>
      <w:pPr>
        <w:ind w:left="660" w:hanging="328"/>
        <w:spacing w:after="0" w:line="263" w:lineRule="auto"/>
        <w:tabs>
          <w:tab w:leader="none" w:pos="6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 Liquidity and Capital Resources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Sources and Uses of Cash:</w:t>
      </w:r>
    </w:p>
    <w:p>
      <w:pPr>
        <w:spacing w:after="0" w:line="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Shentel’s principal sources of liquidity are our cash and cash equivalents, restricted cash, cash generated from operations, government grants and borrowing capacity available under the Company’s VFN and RCF.</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2021, Congress passed the American Rescue Plan Act and the Infrastructure Investment and Jobs Act to subsidize the deployment of high-speed broadband internet access in unserved areas. We have been awarded approximately $152.3 million in grants to serve unserved homes in the states of Virginia, Ohio, Maryland and West Virginia and to upgrade the capacity of the Ohio middle mile network. The grants will be paid to the Company as certain milestones are completed. As of September 30, 2026, and including indirect cost reimbursements, the Company has received a total of $125.4 million in cash receipts and has $26.9 million in remaining reimbursements available under these grant programs. The Company expects to substantially complete its obligations under these programs by the end of 2026.</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September 30, 2026, the Company’s total available liquidity was $138.6 million, consisting of (i) unrestricted cash and cash equivalents totaling $18.6 million; (ii) restricted cash as required by the ABS Indenture totaling $27.0 million (iii) $49.8 million of availability under Shentel Broadband’s RCF; (iv) $16.3 million.under Shentel Issuer’s VFN; and (v) an aggregate of $26.9 million remaining reimbursements available under government grants, which reimbursements are subject to fulfilling the terms of the underlying agreements. In addition, the Company has $84.2 million of VFN commitments that are not available to draw as of September 30, 2026. The available capacity of the VFN will increase based on the secured fiber network revenue growth from the ABS Entities multiplied by (i) a margin as defined in the ABS Indenture and (ii) a 6.25x multiple.</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was approximately $76.6 million during the nine months ended September 30, 2026, representing an increase of $2.2 million compared with the prior year period, primarily driven by timing of changes in working capital.</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approximately $192.1 million during the nine months ended September 30, 2026, representing a decrease of $17.8 million compared with the prior year period. The primary driver was a $36.5 million decrease in capital expenditures due to the substantial completion of government grant construction projects in Incumbent Broadband Markets in 2025, partially offset by a $17.8 million decrease in cash receipts from government grant programs.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$112.9 million during the nine months ended September 30, 2026, representing a decrease of $1.1 million compared with the prior year period. This decrease was primarily driven by higher payments on financing arrangements than the prior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Indebtedness:</w:t>
      </w:r>
    </w:p>
    <w:p>
      <w:pPr>
        <w:spacing w:after="0" w:line="2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September 30, 2026, the Company’s net indebtedness was approximately $747.1 million, including $759.9 million in outstanding ABS Notes, the VFN, and the RCF, net of unamortized loan fees of $12.8 million. The borrowed Class A-2 Notes and the Class B Notes incur interest at 5.64% and 6.03%, respectively. The borrowed VFN and RCF bear interest at a variable rate determined by one-month term SOFR, plus a margin based on net leverage. The weighted-average interest rate was 5.84% for the ABS Notes, VFN, and RCF at September 30, 2026.</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Shentel’s ABS Notes, which include Class A-2 Notes and Class B Notes, have outstanding balances of $489.1 million and $78.3 million, respectively. Shentel Issuer’s VFN has an outstanding balance of $74.5 million. Shentel’s RCF has an outstanding balance of $118.0 million. The ABS Notes have a contractually stated anticipated repayment date (“ARD”) of December 2030 with the exception of the VFN. The initial anticipated repayment date for the VFN is December 2029 which may be extended, at the option of Shentel, to December 2030, subject to the satisfaction of certain conditions. Shentel has not made any borrowings under its LFN as of September 30, 2026. Amounts borrowed under the LFN do not have an anticipated repayment date. The legal final maturity date of each class of the ABS Notes is in December 2055. If Shentel has not repaid or refinanced any Series 2025-1 Notes prior to the relevant ARD, additional interest will accrue on outstanding principal. Shentel Broadband’s RCF matures on December 5, 2030. No principal payments on Shentel Broadband’s RCF are required prior to the final maturity date.</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Shentel and its non-ABS Entities have no recourse of the loans of the ABS Entities. Likewise, the ABS Entities have no recourse of the loans of Shentel Broadband.</w:t>
      </w:r>
    </w:p>
    <w:p>
      <w:pPr>
        <w:spacing w:after="0" w:line="20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Company’s unaudited condensed consolidated financial statements within this Form 10-Q and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Company’s consolidated financial statements in the Company’s 2025 Form 10-K for more information about the outstanding debt.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Company was in compliance with the financial covenants related to our outstanding debt.</w:t>
      </w:r>
    </w:p>
    <w:p>
      <w:pPr>
        <w:spacing w:after="0" w:line="2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expect our cash on hand, restricted cash, cash flows from operations, availability of funds from our RCF and VFN agreements and government grants will be sufficient to meet our anticipated liquidity needs for business operations for the next twelve months. There can be no assurance that we will continue to generate cash flows at or above current levels.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our capital expenditures of $215.0 million exceeded our net cash provided by operating activities by $138.4 million, and we expect our capital expenditures to exceed the cash flows provided from operations through 2026, in line with the timing of our Glo Fiber network expansion.</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amount and timing of our future capital requirements may differ materially from our estimates depending on the demand for our products and services, new market developments and expansion opportunities.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from operations could be adversely affected by events outside our control, including, without limitation, changes in overall economic conditions, including rising inflation, regulatory requirements, changes in technologies, changes in competition, demand for our products and services, availability of labor resources and capital, natural disasters, pandemics and other adverse public health developments, and other conditions. Our ability to attract and maintain a sufficient customer base is critical to our ability to maintain a positive cash flow from operations. The foregoing events individually or collectively could affect our results.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2025, Shentel formed Shentel Guarantor LLC, Shentel Issuer LLC, Shentel Asset Entity I LLC and Shentel Asset Entity II LLC (collectively, the “ABS Entities”), each a bankruptcy-remote subsidiary of the Company. The ABS Entities were formed as part of a securitization transaction, pursuant to which certain of the Company’s fiber network assets and related customer contracts primarily in Virginia, Ohio, Pennsylvania, Indiana, Maryland and West Virginia were contributed to Shentel Asset Entity I LLC and Shentel Asset Entity II LLC (collectively, the “ABS Asset Entities”). As of September 30, 2026, all of the Company’s commercial fiber network assets and approximately 316,000 Glo Fiber passings were contributed to the ABS Asset Entities. The cash flow from these contributed assets are used to service the obligations under Shentel’s ABS 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Supplemental Financing Reporting Requirements: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RCF requires consolidated financial statements of restricted subsidiaries under the RCF (the “Non-ABS Entities” or the “Restricted Subsidiaries”) and unrestricted subsidiaries (the “ABS Entities” or the “Unrestricted Subsidiaries”). Below are the unaudited condensed consolidating balance sheets as of September 30, 2026 and December 31, 2025, and the unaudited condensed consolidating statements of operations for the three and nine months ended September 30, 2026.</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Unrestricted</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Restricted</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Subsidiaries (ABS</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rPr>
              <w:t>(Non-ABS</w:t>
            </w:r>
          </w:p>
        </w:tc>
        <w:tc>
          <w:tcPr>
            <w:tcW w:w="160" w:type="dxa"/>
            <w:vAlign w:val="bottom"/>
          </w:tcPr>
          <w:p>
            <w:pPr>
              <w:spacing w:after="0"/>
              <w:rPr>
                <w:sz w:val="16"/>
                <w:szCs w:val="16"/>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6"/>
                <w:szCs w:val="16"/>
                <w:color w:val="auto"/>
              </w:rPr>
            </w:pPr>
          </w:p>
        </w:tc>
        <w:tc>
          <w:tcPr>
            <w:tcW w:w="1280" w:type="dxa"/>
            <w:vAlign w:val="bottom"/>
            <w:vMerge w:val="restart"/>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5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Entities)</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Entities)</w:t>
            </w: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18,647</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27,009</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22,385</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20,064</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88,105</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16,308</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819,838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891,306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1,711,144</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155,711</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19,016</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127,693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(117,334)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18,965</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1,008,015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1,468,521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(467,287)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2,009,249</w:t>
            </w:r>
          </w:p>
        </w:tc>
        <w:tc>
          <w:tcPr>
            <w:tcW w:w="0" w:type="dxa"/>
            <w:vAlign w:val="bottom"/>
          </w:tcPr>
          <w:p>
            <w:pPr>
              <w:spacing w:after="0"/>
              <w:rPr>
                <w:sz w:val="1"/>
                <w:szCs w:val="1"/>
                <w:color w:val="auto"/>
              </w:rPr>
            </w:pPr>
          </w:p>
        </w:tc>
      </w:tr>
      <w:tr>
        <w:trPr>
          <w:trHeight w:val="26"/>
        </w:trPr>
        <w:tc>
          <w:tcPr>
            <w:tcW w:w="5160" w:type="dxa"/>
            <w:vAlign w:val="bottom"/>
            <w:gridSpan w:val="2"/>
            <w:vMerge w:val="restart"/>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LIABILITIES, TEMPORARY EQUITY AND SHAREHOLDERS’</w:t>
            </w: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65,206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68,219</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Advanced billings and customer deposits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18,469</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16,816</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19,810</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27,627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108,175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123,314</w:t>
            </w:r>
          </w:p>
        </w:tc>
        <w:tc>
          <w:tcPr>
            <w:tcW w:w="0" w:type="dxa"/>
            <w:vAlign w:val="bottom"/>
          </w:tcPr>
          <w:p>
            <w:pPr>
              <w:spacing w:after="0"/>
              <w:rPr>
                <w:sz w:val="1"/>
                <w:szCs w:val="1"/>
                <w:color w:val="auto"/>
              </w:rPr>
            </w:pPr>
          </w:p>
        </w:tc>
      </w:tr>
      <w:tr>
        <w:trPr>
          <w:trHeight w:val="20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less current maturities, net of unamortized loan fees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747,091</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147,921</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34,011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128,778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(115,840)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46,949</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194,870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Temporary equity: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93,321</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316,905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872,707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(338,959)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850,653</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 temporary equity and shareholders’ equity</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1,008,015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1,468,521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(467,287)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2,009,249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2"/>
        </w:trPr>
        <w:tc>
          <w:tcPr>
            <w:tcW w:w="1280" w:type="dxa"/>
            <w:vAlign w:val="bottom"/>
            <w:tcBorders>
              <w:top w:val="single" w:sz="8" w:color="0000FF"/>
            </w:tcBorders>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Unrestricted</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Restricted</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Subsidiaries (ABS</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rPr>
              <w:t>(Non-ABS</w:t>
            </w:r>
          </w:p>
        </w:tc>
        <w:tc>
          <w:tcPr>
            <w:tcW w:w="160" w:type="dxa"/>
            <w:vAlign w:val="bottom"/>
          </w:tcPr>
          <w:p>
            <w:pPr>
              <w:spacing w:after="0"/>
              <w:rPr>
                <w:sz w:val="16"/>
                <w:szCs w:val="16"/>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6"/>
                <w:szCs w:val="16"/>
                <w:color w:val="auto"/>
              </w:rPr>
            </w:pPr>
          </w:p>
        </w:tc>
        <w:tc>
          <w:tcPr>
            <w:tcW w:w="1280" w:type="dxa"/>
            <w:vAlign w:val="bottom"/>
            <w:vMerge w:val="restart"/>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5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Entities)</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Entities)</w:t>
            </w: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27,259</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20,945</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31,497</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17,742</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97,443</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793,874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807,735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1,601,609</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156,891</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19,657</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129,635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(118,777)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18,652</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980,811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1,440,323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(510,372)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1,910,762</w:t>
            </w:r>
          </w:p>
        </w:tc>
        <w:tc>
          <w:tcPr>
            <w:tcW w:w="0" w:type="dxa"/>
            <w:vAlign w:val="bottom"/>
          </w:tcPr>
          <w:p>
            <w:pPr>
              <w:spacing w:after="0"/>
              <w:rPr>
                <w:sz w:val="1"/>
                <w:szCs w:val="1"/>
                <w:color w:val="auto"/>
              </w:rPr>
            </w:pPr>
          </w:p>
        </w:tc>
      </w:tr>
      <w:tr>
        <w:trPr>
          <w:trHeight w:val="26"/>
        </w:trPr>
        <w:tc>
          <w:tcPr>
            <w:tcW w:w="5160" w:type="dxa"/>
            <w:vAlign w:val="bottom"/>
            <w:gridSpan w:val="2"/>
            <w:vMerge w:val="restart"/>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LIABILITIES, TEMPORARY EQUITY AND SHAREHOLDERS’</w:t>
            </w: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66,757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61,355</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Advanced billings and customer deposits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16,909</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13,334</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16,898</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20,408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104,568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108,496</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less current maturities, net of unamortized loan fees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628,237</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157,618</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131,159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(117,665)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47,122</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204,740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Temporary equity: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88,506</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372,487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884,523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(376,227)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880,783</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 temporary equity and shareholders’ equity</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980,811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1,440,323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(510,372)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1,910,762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2026</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restart"/>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8"/>
              </w:rPr>
              <w:t>Unrestricted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Restricted</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Subsidiaries (ABS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rPr>
              <w:t>(Non-ABS</w:t>
            </w:r>
          </w:p>
        </w:tc>
        <w:tc>
          <w:tcPr>
            <w:tcW w:w="160" w:type="dxa"/>
            <w:vAlign w:val="bottom"/>
          </w:tcPr>
          <w:p>
            <w:pPr>
              <w:spacing w:after="0"/>
              <w:rPr>
                <w:sz w:val="16"/>
                <w:szCs w:val="16"/>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6"/>
                <w:szCs w:val="16"/>
                <w:color w:val="auto"/>
              </w:rPr>
            </w:pPr>
          </w:p>
        </w:tc>
        <w:tc>
          <w:tcPr>
            <w:tcW w:w="1280" w:type="dxa"/>
            <w:vAlign w:val="bottom"/>
            <w:vMerge w:val="restart"/>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5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8"/>
              </w:rPr>
              <w:t>Entities)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Entities)</w:t>
            </w: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 revenue and other</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45,311</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62,046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93,934</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Cost of services exclusive of depreciation and amortization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32,919</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29,153</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Restructuring, integration and acquisition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33,687</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43,073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66,261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95,911</w:t>
            </w:r>
          </w:p>
        </w:tc>
        <w:tc>
          <w:tcPr>
            <w:tcW w:w="0" w:type="dxa"/>
            <w:vAlign w:val="bottom"/>
          </w:tcPr>
          <w:p>
            <w:pPr>
              <w:spacing w:after="0"/>
              <w:rPr>
                <w:sz w:val="1"/>
                <w:szCs w:val="1"/>
                <w:color w:val="auto"/>
              </w:rPr>
            </w:pPr>
          </w:p>
        </w:tc>
      </w:tr>
      <w:tr>
        <w:trPr>
          <w:trHeight w:val="20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Operating (loss) income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(10,497)</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(12,228)</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9"/>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restart"/>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8"/>
              </w:rPr>
              <w:t>Unrestricted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Restricted</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Subsidiaries (ABS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rPr>
              <w:t>(Non-ABS</w:t>
            </w:r>
          </w:p>
        </w:tc>
        <w:tc>
          <w:tcPr>
            <w:tcW w:w="160" w:type="dxa"/>
            <w:vAlign w:val="bottom"/>
          </w:tcPr>
          <w:p>
            <w:pPr>
              <w:spacing w:after="0"/>
              <w:rPr>
                <w:sz w:val="15"/>
                <w:szCs w:val="15"/>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5"/>
                <w:szCs w:val="15"/>
                <w:color w:val="auto"/>
              </w:rPr>
            </w:pPr>
          </w:p>
        </w:tc>
        <w:tc>
          <w:tcPr>
            <w:tcW w:w="1280" w:type="dxa"/>
            <w:vAlign w:val="bottom"/>
            <w:vMerge w:val="restart"/>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1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8"/>
              </w:rPr>
              <w:t>Entities)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Entities)</w:t>
            </w:r>
          </w:p>
        </w:tc>
        <w:tc>
          <w:tcPr>
            <w:tcW w:w="1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 revenue and other</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132,401</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185,595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(38,447)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279,549</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Cost of services exclusive of depreciation and amortization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97,446</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93,562</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Restructuring, integration and acquisition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99,277</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126,035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205,423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(38,447)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293,011</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Operating (loss) income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(13,462)</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(29,628)</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(18,286)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(24,041)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(42,327)</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(18,286)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(14,344)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(32,630)</w:t>
            </w: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Horizon Acquisition - Representation and Warranty Insurance Claim: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 2024, Shentel completed the acquisition of Horizon Acquisition Parent LLC, a Delaware limited liability company (“Horizon”), pursuant to the</w:t>
      </w:r>
    </w:p>
    <w:p>
      <w:pPr>
        <w:spacing w:after="0" w:line="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terms of an Agreement and Plan of Merger, dated October 24, 2023 (the “Merger Agreement”), by and among Shentel, Horizon, the sellers set forth on the signature pages thereto, and the other parties thereto. Horizon made customary representations and warranties in the Merger Agreement relating to periods prior to, and as of, the closing of the acquisition. Shentel purchased representation and warranty insurance (“RWI”), with a policy limit of $40.0 million to cover potential losses resulting from a breach of these representations and warranties. In June 2026, the Company submitted claims to the RWI carrier seeking coverage for losses arising out of the alleged breaches of representations and warranties in the Merger Agreement. Although we believe that the breaches and our claims are meritorious, no assurance can be given as to whether we will recover all, or any part, of the incurred loss. No gains or receivables have been recognized related to this RWI claim as of and for the period ended September 30, 2026. The RWI claim is separate and unrelated to the Horizon acquisition related escrow claim, which was settled in 2025.</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previously disclosed in Part II, Item 8 of our 2025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2026, the Company has an outstanding debt balance of $759.9 million, which includes ABS Notes, VFN, and the RCF. Shentel’s ABS Notes, which include Class A-2 Notes and Class B Notes, have outstanding balances of $489.1 million and $78.3 million, respectively. The borrowed Class A-2 Notes and the Class B Notes incur interest at the fixed rate 5.64% and 6.03%, respectively; therefore, the Class A-2 and the Class B Notes are not subject to fluctuations in market interest rates. The borrowed RCF bears interest at a variable rate determined by one-month term SOFR, plus a margin based on net leverage. The borrowed VFN bears interest at a variable rate determined by a one-month term SOFR, plus a fixed margin.</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2026, the Company had $74.5 million and $118.0 million of gross variable rate debt outstanding under the VFN and RCF, respectively. The interest rate was 5.66% and 6.66% for the VFN and RCF, respectively, at September 30, 2026. An increase in market interest rates of 1.00% would add approximately $1.9 million to annual interest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Chief Executive Officer and Chief Financial Officer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September 30, 2026. Our certifying officers concluded that our disclosure controls and procedures were effective as of September 30,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fiscal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results of operations or cash flows. Regardless of final outcomes, however, any such proceedings, claims, and investigations may nonetheless impose a significant burden on management and employees and be costly to defend, with unfavorable preliminary or interim rulings.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discuss in our Annual Report on Form 10-K various risks that may materially affect our business. We use this section to update this discussion to reflect material developments since our Form 10-K was filed. As of September 30, 2026, and except as noted below, there have been no material changes to the risk factors previously disclosed under the caption “Risk Factors” in our Annual Report on Form 10-K for the fiscal year ended December 31, 2025 filed with the SEC on February 26,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Risk Factors</w:t>
      </w:r>
    </w:p>
    <w:p>
      <w:pPr>
        <w:spacing w:after="0" w:line="243"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The Company has modified the following risk factor, previously included under the caption “Item 1A. Risk Factors - Risks Related to Regulation and Legislation” in our Annual Report on Form 10-K for the fiscal year ended December 31, 2025, to take into account risks associated with potential spending program decisions by the Federal Communications Commission (“FCC”).</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Changes to the FCC’s Universal Service Fund (“USF”) framework may adversely impact our Broadband revenue, which may have a material adverse effect on our financial performance and our results of operations.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FCC’s USF provides regulatory support to rural local exchange carriers to promote universal service and to eligible schools and libraries through the e-rate program and to regional healthcare providers and hospitals through the Rural Healthcare Program to obtain subsidized internet access and telecommunication services. Although unsuccessful, recent lawsuits against the USF have raised questions in Congress regarding future funding for the USF. Any reduction in the USF from similar successful lawsuits, or funding changes by Congress, could negatively impact the regulatory support revenue received by the Company’s RLEC business and the ability for schools, libraries, and healthcare providers to pay the Company for internet access and telecommunication services.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FCC periodically reviews the spending programs within the USF and has authority to make changes through a majority vote of the commissioners. If the FCC decides to reduce support for certain programs for universal service or subsidized internet access and telecommunications services, our Broadband revenues may be adversely impacted, which may have a material effect on our financial performance and our result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 Factors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identified an additional risk factor, included below, due to ongoing global geopolitical conflicts and actions taken by governments globally in response to such conflicts including sanctions and trade restrictions.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geopolitical instability or further governmental actions globally could result in additional increases in oil and fuel costs, which may adversely affect our operating expenses and financial results.</w:t>
      </w:r>
    </w:p>
    <w:p>
      <w:pPr>
        <w:spacing w:after="0" w:line="172"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8"/>
          <w:szCs w:val="18"/>
          <w:color w:val="auto"/>
        </w:rPr>
        <w:t>Ongoing geopolitical tensions and military conflicts in the Middle East, including the conflict involving Iran, may adversely affect our operations. Escalating conflict in or near major oil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producing or shipping corridors could lead to higher fuel and energy prices, increasing our transportation and other operational costs. Any sustained increase in fuel prices could negatively impact our margins and may have an adverse effect on our business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or Affiliated Purchasers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vesting of stock awards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September 30, 2026, to settle employee tax withholding obligations related to the vesting of stock awards.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0" w:type="dxa"/>
            <w:vAlign w:val="bottom"/>
          </w:tcPr>
          <w:p>
            <w:pPr>
              <w:spacing w:after="0"/>
              <w:rPr>
                <w:sz w:val="1"/>
                <w:szCs w:val="1"/>
                <w:color w:val="auto"/>
              </w:rPr>
            </w:pPr>
          </w:p>
        </w:tc>
      </w:tr>
      <w:tr>
        <w:trPr>
          <w:trHeight w:val="243"/>
        </w:trPr>
        <w:tc>
          <w:tcPr>
            <w:tcW w:w="7140" w:type="dxa"/>
            <w:vAlign w:val="bottom"/>
            <w:vMerge w:val="continue"/>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Surrendered</w:t>
            </w:r>
          </w:p>
        </w:tc>
        <w:tc>
          <w:tcPr>
            <w:tcW w:w="120" w:type="dxa"/>
            <w:vAlign w:val="bottom"/>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0" w:type="dxa"/>
            <w:vAlign w:val="bottom"/>
          </w:tcPr>
          <w:p>
            <w:pPr>
              <w:spacing w:after="0"/>
              <w:rPr>
                <w:sz w:val="1"/>
                <w:szCs w:val="1"/>
                <w:color w:val="auto"/>
              </w:rPr>
            </w:pPr>
          </w:p>
        </w:tc>
      </w:tr>
      <w:tr>
        <w:trPr>
          <w:trHeight w:val="218"/>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July 1 to July 31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August 1 to August 31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September 1 to September 30</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officers or directors adopted or terminated any “Rule 10b5-1 trading arrangement” or any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 Index</w:t>
      </w:r>
    </w:p>
    <w:p>
      <w:pPr>
        <w:spacing w:after="0" w:line="387" w:lineRule="exact"/>
        <w:rPr>
          <w:sz w:val="20"/>
          <w:szCs w:val="20"/>
          <w:color w:val="auto"/>
        </w:rPr>
      </w:pPr>
    </w:p>
    <w:p>
      <w:pPr>
        <w:ind w:left="160"/>
        <w:spacing w:after="0"/>
        <w:tabs>
          <w:tab w:leader="none" w:pos="12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Exhibit Description</w:t>
      </w:r>
    </w:p>
    <w:p>
      <w:pPr>
        <w:spacing w:after="0" w:line="297"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Executive Officer pursuant to Rule 13a-14(a) under the Securities Exchange Act of 1934.</w:t>
      </w:r>
    </w:p>
    <w:p>
      <w:pPr>
        <w:spacing w:after="0" w:line="77"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Financial and Accounting Officer pursuant to Rule 13a-14(a) under the Securities Exchange Act of 1934.</w:t>
      </w:r>
    </w:p>
    <w:p>
      <w:pPr>
        <w:spacing w:after="0" w:line="293"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Certifications pursuant to Rule 13a-14(b) under the Securities Exchange Act of 1934 and 18 U.S.C. § 1350.</w:t>
      </w:r>
    </w:p>
    <w:p>
      <w:pPr>
        <w:spacing w:after="0" w:line="77" w:lineRule="exact"/>
        <w:rPr>
          <w:sz w:val="20"/>
          <w:szCs w:val="20"/>
          <w:color w:val="auto"/>
        </w:rPr>
      </w:pPr>
    </w:p>
    <w:p>
      <w:pPr>
        <w:ind w:left="1220" w:hanging="813"/>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Inline XBRL (Extensible Business Reporting Language)</w:t>
      </w:r>
    </w:p>
    <w:p>
      <w:pPr>
        <w:spacing w:after="0" w:line="50"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w:t>
            </w:r>
          </w:p>
        </w:tc>
      </w:tr>
      <w:tr>
        <w:trPr>
          <w:trHeight w:val="234"/>
        </w:trPr>
        <w:tc>
          <w:tcPr>
            <w:tcW w:w="1000" w:type="dxa"/>
            <w:vAlign w:val="bottom"/>
          </w:tcPr>
          <w:p>
            <w:pPr>
              <w:spacing w:after="0"/>
              <w:rPr>
                <w:sz w:val="20"/>
                <w:szCs w:val="20"/>
                <w:color w:val="auto"/>
              </w:rPr>
            </w:pP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65" w:lineRule="exact"/>
        <w:rPr>
          <w:sz w:val="20"/>
          <w:szCs w:val="20"/>
          <w:color w:val="auto"/>
        </w:rPr>
      </w:pPr>
    </w:p>
    <w:p>
      <w:pPr>
        <w:ind w:right="4240" w:firstLine="467"/>
        <w:spacing w:after="0" w:line="641" w:lineRule="auto"/>
        <w:tabs>
          <w:tab w:leader="none" w:pos="120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ind w:left="660" w:hanging="652"/>
        <w:spacing w:after="0" w:line="266" w:lineRule="auto"/>
        <w:tabs>
          <w:tab w:leader="none" w:pos="4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-904875</wp:posOffset>
            </wp:positionV>
            <wp:extent cx="54864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864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/s/ James J. Volk</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James J. Volk</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1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119" w:right="3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Edward H. McKay, certify that:</w:t>
      </w:r>
    </w:p>
    <w:p>
      <w:pPr>
        <w:spacing w:after="0" w:line="252"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EDWARD H. MCKAY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Edward H. McKay, President and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571"/>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15175"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89" w:lineRule="exact"/>
        <w:rPr>
          <w:sz w:val="20"/>
          <w:szCs w:val="20"/>
          <w:color w:val="auto"/>
        </w:rPr>
      </w:pPr>
    </w:p>
    <w:p>
      <w:pPr>
        <w:ind w:right="80" w:firstLine="656"/>
        <w:spacing w:after="0" w:line="266" w:lineRule="auto"/>
        <w:tabs>
          <w:tab w:leader="none" w:pos="12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three and nine months ended September 30, 2026 filed on the date hereof with the Securities and Exchange Commission (the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/S/EDWARD H. MCKAY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Edward H. McKay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October 28, 2026</w:t>
      </w:r>
    </w:p>
    <w:p>
      <w:pPr>
        <w:spacing w:after="0" w:line="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October 28, 2026</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01"/>
    </w:lvl>
  </w:abstractNum>
  <w:abstractNum w:abstractNumId="8">
    <w:nsid w:val="1F16E9E8"/>
    <w:multiLevelType w:val="hybridMultilevel"/>
    <w:lvl w:ilvl="0">
      <w:lvlJc w:val="left"/>
      <w:lvlText w:val="*"/>
      <w:numFmt w:val="bullet"/>
      <w:start w:val="1"/>
    </w:lvl>
    <w:lvl w:ilvl="1">
      <w:lvlJc w:val="left"/>
      <w:lvlText w:val="%2"/>
      <w:numFmt w:val="decimal"/>
      <w:start w:val="104"/>
    </w:lvl>
  </w:abstractNum>
  <w:abstractNum w:abstractNumId="9">
    <w:nsid w:val="1190CDE7"/>
    <w:multiLevelType w:val="hybridMultilevel"/>
    <w:lvl w:ilvl="0">
      <w:lvlJc w:val="left"/>
      <w:lvlText w:val="**"/>
      <w:numFmt w:val="bullet"/>
      <w:start w:val="1"/>
    </w:lvl>
    <w:lvl w:ilvl="1">
      <w:lvlJc w:val="left"/>
      <w:lvlText w:val="%2"/>
      <w:numFmt w:val="decimal"/>
      <w:start w:val="1"/>
    </w:lvl>
  </w:abstractNum>
  <w:abstractNum w:abstractNumId="10">
    <w:nsid w:val="66EF438D"/>
    <w:multiLevelType w:val="hybridMultilevel"/>
    <w:lvl w:ilvl="0">
      <w:lvlJc w:val="left"/>
      <w:lvlText w:val="%1."/>
      <w:numFmt w:val="decimal"/>
      <w:start w:val="1"/>
    </w:lvl>
    <w:lvl w:ilvl="1">
      <w:lvlJc w:val="left"/>
      <w:lvlText w:val="(%2)"/>
      <w:numFmt w:val="decimal"/>
      <w:start w:val="1"/>
    </w:lvl>
  </w:abstractNum>
  <w:abstractNum w:abstractNumId="11">
    <w:nsid w:val="140E0F76"/>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2026-10-28T07:06:50Z</dcterms:created>
  <dcterms:modified xsi:type="dcterms:W3CDTF">2026-10-28T07:06:50Z</dcterms:modified>
</cp:coreProperties>
</file>